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100 vom 25. August 2009</w:t>
      </w:r>
    </w:p>
    <w:p>
      <w:r>
        <w:t>VD Tribunal cantonal, 2009-08-25, FR</w:t>
      </w:r>
    </w:p>
    <w:p>
      <w:r>
        <w:rPr>
          <w:b/>
        </w:rPr>
        <w:t xml:space="preserve">Quelle: </w:t>
      </w:r>
      <w:r>
        <w:t>https://mcp.opencaselaw.ch/entscheid/vd_findinfo_AP___2010___100</w:t>
      </w:r>
    </w:p>
    <w:p>
      <w:r>
        <w:t>FR: VD_FINDINFO AP / 2010 / 100 du 25 août 2009</w:t>
      </w:r>
    </w:p>
    <w:p>
      <w:r>
        <w:t>IT: VD_FINDINFO AP / 2010 / 100 del 25 agosto 2009</w:t>
      </w:r>
    </w:p>
    <w:p>
      <w:pPr>
        <w:pStyle w:val="Heading2"/>
      </w:pPr>
      <w:r>
        <w:t>Regeste</w:t>
      </w:r>
    </w:p>
    <w:p>
      <w:r>
        <w:t>DOUTE, SURSIS À L'EXÉCUTION DE LA PEINE, DÉLAI | 42 CP, 44 CP, 47 al. 1 CP, 411 let. i CPP</w:t>
      </w:r>
    </w:p>
    <w:p>
      <w:pPr>
        <w:pStyle w:val="Heading2"/>
      </w:pPr>
      <w:r>
        <w:t>Erwägungen</w:t>
      </w:r>
    </w:p>
    <w:p>
      <w:r>
        <w:rPr>
          <w:b/>
        </w:rPr>
        <w:t>E. 1</w:t>
      </w:r>
    </w:p>
    <w:p>
      <w:r>
        <w:t>Le recourant invoque une violation de l'art. 411 let. i CPP.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incombe au recourant de démontrer le caractère arbitraire de l'appréciation des preuves à laquelle se sont livrés les premiers juges (art. 425 al. 2 let. c CPP). Il convient de préciser qu'un léger doute, un doute théorique ou encore abstrait ne suffit pas à entraîner l'annulation du jugement. Seul un doute concret, d'une certaine consistance, en d'autres termes un doute raisonnable, peut conduire à cette sanction (Bovay/Dupuis/Monnier/Moreillon/Piguet, op. cit., n. 11.1 ad art. 411 CPP; Bersier, op. cit., p. 83; JT 1991 III 45). Tel n'est pas le cas lorsque le premier juge n'a méconnu aucun des éléments de l'instruction et que, pour fixer le point litigieux, on ne peut que s'en référer à son appréciation (JT 2003 III 70 c. 2a; Bovay/Dupuis/Monnier/Moreillon/Piguet, op. cit., n. 11.6 ad art. 411 CPP et les réf. citées).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c. 2b; ATF 126 I 168 c. 3a; ATF 125 I 166 c. 2a; Bersier, op. cit., pp. 83 et 91). La Cour de cassation n'étant pas une juridiction d'appel, le moyen de nullité tiré de l'art. 411 i CPP doit être envisagé comme un remède exceptionnel et ne permet pas au recourant de discuter librement l'état de fait du jugement devant l'autorité de recours, à laquelle il appartiendrait de choisir la version la plus vraisemblable (Bovay/Dupuis/Monnier/Moreillon/Piguet, op. cit., n. 8.1 ad art. 411 CPP; CCASS, 19 septembre 2000, n° 504; CCASS, 14 septembre 2000, n° 494; JT 1999 III 83 c. 6b; Besse-Matile/Abravanel, op. cit., p. 103).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(Bovay/Dupuis/Monnier/Moreillon/Piguet, op. cit., n. 8.1 ad art. 411 CPP; CCASS, 9 mars 1999, n° 249; JT 1991 III 45).</w:t>
      </w:r>
    </w:p>
    <w:p>
      <w:r>
        <w:rPr>
          <w:b/>
        </w:rPr>
        <w:t>E. 2</w:t>
      </w:r>
    </w:p>
    <w:p>
      <w:r>
        <w:t>En l'espèce, le recourant reproche aux premiers juges d'avoir constaté des faits et apprécié des preuves de manière arbitraire. Les premiers juges ont tout d'abord relevé que D.________ avait versé 5'000 fr. au recourant puis avait consenti de nouveaux investissements. On ignore à ce stade quelle est l'importance de ces investissements. Les premiers juges ont ensuite indiqué que D.________ avait remis 10'000 dollars américains au recourant, puis 1'200 dollars américains. Ils ont enfin retenu que la personne dupe avait payé 60'000 fr. et 11'200 dollars. Ils ont alloué à la victime des prétentions civiles par 54'000 fr., qui viennent s'ajouter aux 12'000 dollars reconnus par transaction, ce qui représente un montant total de 66'000 francs. Le recourant fait notamment valoir que l'on ne sait si le montant de 11'200 dollars mentionné en page 12 du jugement doit être ajouté au montant de 11'200 dollars mentionné en page 11. Force est de constater qu'en l'occurrence, il n'est pas possible, au vu des faits retenus dans le jugement, de déterminer le montant de l'escroquerie. Les premiers juges n'ont pas expliqué pourquoi ils ont retenu un montant de 60'000 fr. en page 12 du jugement. De plus, ils n'ont pas indiqué comment ils avaient calculé ce montant. On ignore donc d'où sortent ces 60'000 francs. Les premiers juges n'ont pas non plus expliqué pourquoi les prétentions civiles à hauteur de 66'000 fr. ne correspondent pas au montant de l'escroquerie, soit un montant d'environ 72'600 fr. si l'on convertit les 11'200 dollars au cours du jour. On ne sait par ailleurs pas si le montant initial de 5'000 fr. a été pris en compte dans les calculs opérés par les premiers juges. Enfin, il est arbitraire de retenir une escroquerie portant sur un montant de 60'000 fr. en l'absence de tout élément probant et alors même que la plainte fait état d'un préjudice d'un montant de 50'000 fr. (et non 60'000 fr.) plus 10'000 dollars (et non 11'200 dollars). L'étendue exacte du dommage, dans la mesure où D.________ n'a pas fourni les justificatifs qui lui avaient été demandés, ne peut pas être déterminée. Le recours en nullité devrait donc être admis sur ce point. Toutefois, dans la mesure où le dommage supplémentaire, s'il devait exister, ne peut être établi à satisfaction de droit par le juge pénal, il convient bien plutôt de réformer le jugement et non de l'annuler. Partant, le moyen de nullité doit être rejeté et le recours en réforme admis en ce sens qu'on donnera acte pour le surplus à D.________ de ses réserves civiles à l'encontre de B.________.</w:t>
      </w:r>
    </w:p>
    <w:p>
      <w:r>
        <w:rPr>
          <w:b/>
        </w:rPr>
        <w:t>E. 3</w:t>
      </w:r>
    </w:p>
    <w:p>
      <w:r>
        <w:t>En définitive, le recours de B.________ est partiellement admis et le jugement réformé dans le sens des considérants. Vu l'issue du recours et conformément à l'art. 450 al. 2 CPP, les frais de deuxième instance, y compris l'indemnité allouée au conseil d'office du recourant B.________, par 860 fr. 80, sont mis à raison de la moitié à la charge de B.________, le solde restant à la charge de l'Etat. Le remboursement à l'Etat de cette indemnité sera exigible pour autant que la situation économique du recourant le permette.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