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96 vom 5. Dezember 2008</w:t>
      </w:r>
    </w:p>
    <w:p>
      <w:r>
        <w:t>VD Tribunal cantonal, 2008-12-05, FR</w:t>
      </w:r>
    </w:p>
    <w:p>
      <w:r>
        <w:rPr>
          <w:b/>
        </w:rPr>
        <w:t xml:space="preserve">Quelle: </w:t>
      </w:r>
      <w:r>
        <w:t>https://mcp.opencaselaw.ch/entscheid/vd_findinfo_AP___2009___96</w:t>
      </w:r>
    </w:p>
    <w:p>
      <w:r>
        <w:t>FR: VD_FINDINFO AP / 2009 / 96 du 5 décembre 2008</w:t>
      </w:r>
    </w:p>
    <w:p>
      <w:r>
        <w:t>IT: VD_FINDINFO AP / 2009 / 96 del 5 dicembre 2008</w:t>
      </w:r>
    </w:p>
    <w:p>
      <w:pPr>
        <w:pStyle w:val="Heading2"/>
      </w:pPr>
      <w:r>
        <w:t>Regeste</w:t>
      </w:r>
    </w:p>
    <w:p>
      <w:r>
        <w:t>COAUTEUR{DROIT PÉNAL}, PEINE COMPLÉMENTAIRE, AVOCAT D'OFFICE, PARTIE CIVILE, DOMMAGES-INTÉRÊTS | 139 ch. 1 CP, 139 ch. 2 CP, 139 ch. 3 CP, 49 al. 2 CP, 372 al. 1 CPP, 450 al. 2 CPP, 29 al. 3 Cst.</w:t>
      </w:r>
    </w:p>
    <w:p>
      <w:pPr>
        <w:pStyle w:val="Heading2"/>
      </w:pPr>
      <w:r>
        <w:t>Erwägungen</w:t>
      </w:r>
    </w:p>
    <w:p>
      <w:r>
        <w:rPr>
          <w:b/>
        </w:rPr>
        <w:t>E. 1</w:t>
      </w:r>
    </w:p>
    <w:p>
      <w:r>
        <w:t>Saisie d'un recours en réforme, la cour de céans examine librement les questions de droit sans être limitée aux moyens que les parties invoquent (art. 447 al. 1 CPP [Code de procédure pénale du 12 septembre 1967; RSV 312.01]). Elle est cependant liée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ch. 8, pp. 70 s.).</w:t>
      </w:r>
    </w:p>
    <w:p>
      <w:r>
        <w:rPr>
          <w:b/>
        </w:rPr>
        <w:t>E. 2</w:t>
      </w:r>
    </w:p>
    <w:p>
      <w:r>
        <w:t>a) Le recourant invoque une violation de l'art. 139 CP (Code pénal du 21 décembre 1937; RS 311.0). Il soutient qu'il n'aurait pas dû être considéré comme coauteur de vol pour les véhicules qui ont été dérobés par d'autres personnes et qu'il s'est contenté d'amener en Serbie, ainsi que pour les plaques mentionnées dans le cas n o 26. b) 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sera puni d'une peine privative de liberté de dix ans au plus ou d'une peine pécuniaire de 90 jours-amende au moins si son auteur fait métier du vol (ch. 2). Le vol sera puni d'une peine privative de liberté de dix ans au plus ou d'une peine pécuniaire de 180 jours-amende au moins, si son auteur l'a commis en qualité d'affilié à une bande formée pour commettre des brigandages ou des vols (ch. 3 al. 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 9.2.1; 125 IV 134 c. 3a; 120 IV 136 c. 2b, 120 IV 265, c. 2c/aa et les arrêts cités). La jurisprudence exige que le coauteur ait une certaine maîtrise des opérations et que son rôle soit plus ou moins indispensable (TF, arrêt 6B_681/2007 du 25 janvier 2008, c. 2.3 et les références citées). c) En l'espèce, il ressort du jugement que le recourant était devenu le responsable du réseau en Suisse. Dans ce cadre, il se chargeait plus particulièrement de l'organisation et de l'acheminement des véhicules volés. Il établissait de faux documents permettant de passer les frontières. Il répartissait le prix payé entre les différents intervenants. De plus, le jugement retient les déclarations de R.________, dont il ressort qu'il ne traitait qu'avec le recourant et que tous les véhicules qui quittaient la Suisse passaient par ce dernier. Il apparaît donc contraire aux faits retenus dans le jugement de considérer que R.________ aurait parfaitement pu charger une autre personne de vendre les véhicules à un tiers. Le recourant était le membre indispensable d'une bande qui volait des véhicules pour les envoyer en Serbie. Il ne saurait être considéré comme un simple complice ou un receleur. Il a donc agi comme coauteur dans les cas où il n'a pas dérobé lui-même les véhicules. Ce raisonnement s'applique pareillement au vol de plaques figurant au cas n o 26. Le recours doit dès lors être rejeté sur ce point.</w:t>
      </w:r>
    </w:p>
    <w:p>
      <w:r>
        <w:rPr>
          <w:b/>
        </w:rPr>
        <w:t>E. 3</w:t>
      </w:r>
    </w:p>
    <w:p>
      <w:r>
        <w:t>L'art. 49 al. 2 CP prévoit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recourant reproche aux premiers juges de n'avoir pas tenu compte de ce que la peine infligée constituait une peine complémentaire. A tort. Le jugement mentionne expressément qu'il s'agit d'une peine complémentaire à la peine de six mois d'emprisonnement prononcée par la Cour de cassation le 7 février 2007 (cf. jugement, p. 38). Cela étant, le recourant ne soutient pas qu'intrinsèquement, la peine est arbitrairement sévère. A raison, au vu de l'ensemble des circonstances énumérées par le tribunal. Le recours doit être également rejeté sur ce point.</w:t>
      </w:r>
    </w:p>
    <w:p>
      <w:r>
        <w:rPr>
          <w:b/>
        </w:rPr>
        <w:t>E. 4</w:t>
      </w:r>
    </w:p>
    <w:p>
      <w:r>
        <w:t>Le recourant fait grief aux premiers juges d'avoir mis les frais à sa charge, sans réserve quant à son avocat d'office. A cet égard, le Tribunal fédéral a jugé que la garantie constitutionnelle déduite de l'art. 29 al. 3 Cst. ( Constitution fédérale de la Confédération suisse du 18 avril 1999; RS 101 ) impose que le remboursement ne puisse être poursuivi par voie d'exécution forcée aussi longtemps que la situation économique de l'intéressé ne lui permet pas de s'en acquitter (ATF 135 I 91 c. 2 ). Il convient donc de modifier le dispositif de l'arrêt entrepris, en ajoutant un chiffre XVI bis en ce sens que le remboursement de l'indemnité de 6'160 fr. 10 mise à la charge de F.________ ne sera exigible que pour autant que la situation économique de ce dernier se soit améliorée. III. Recours d'O.________</w:t>
      </w:r>
    </w:p>
    <w:p>
      <w:r>
        <w:rPr>
          <w:b/>
        </w:rPr>
        <w:t>E. 5</w:t>
      </w:r>
    </w:p>
    <w:p>
      <w:r>
        <w:t>Les conclusions civiles prises par T.________ SA s'élevaient à 39'644 fr. 50, correspondant à la valeur des litres d'essence obtenus de façon illicite. Sur la base du décompte produit par la société plaignante, les premiers juges ont alloué 37'929 fr. 18 (cf. jugement, p. 36). Le recourant conteste l'allocation de cette somme, soutenant qu'ils auraient dû donner acte de ses réserves civiles à T.________ SA. L'art. 372 al. 1 CPP prescrit que si le juge considère qu'il n'est pas suffisamment renseigné pour statuer sur les conclusions civiles, il en donne acte à la partie civile et la renvoie à agir devant le juge compétent. Pour statuer sur les conclusions en dommages et intérêts, le juge applique les règles de fond du droit civil (JT 1991 III 106), qui imposent notamment à celui qui demande la réparation d'un dommage la preuve de l'existence et du montant du préjudice subi par lui (Bovay, Dupuis, Monnier, Moreillon et Piguet, Procédure pénale vaudoise, 3 ème éd., Bâle 2008, n. 1.2 ad art. 372). Il ne peut cependant scinder les prétentions déduites en justice par la partie civile, car il expose celle-ci et le condamné au risque de contrariété de jugements; d'autre part, en matière d'action civile jointe à l'action pénale, le juge pénal n'a pas la maîtrise de l'objet du procès (maxime d'office); il est lié par les conclusions de la partie civile et doit se prononcer sur toute la demande s'il est compétent ratione materiae et ratione valoris ou décliner sa compétence (JT 1990 III 25; JT 1984 III 48; JT 1980 III 86). En l'espèce, le jugement entrepris est conforme à cette jurisprudence. En effet, le cas particulier est une succession d'infractions ayant consisté en de multiples retraits d'essence et de diesel (cf. jugement, p. 34-36). Le tribunal a fait les décomptes des retraits qui étaient en relation avec les infractions commises et retenues dans l'acte d'accusation (cf. jugement, p. 36). Il a alloué alors les dommages-intérêts correspondants. En revanche, pour ce qui est du solde, qui n'était donc pas en relation avec des infractions retenues, il a donné acte des réserves civiles. Du moment que le montant alloué correspond au produit des infractions, tout risque de jugements contradictoires est écarté. Le recours doit ainsi être rejeté. IV. En définitive, le recours de F.________ doit être très partiellement admis dans le sens des considérants et celui d'O.________ rejeté. La réforme du jugement découlant d'une jurisprudence du Tribunal fédéral postérieure au jugement attaqué, il n'y a pas lieu de diminuer le montant des frais de deuxième instance à la charge de F.________, comme le permet l'art. 450 al. 2 CPP. Ainsi, les frais de deuxième instance seront mis par moitié à la charge de F.________, plus l'indemnité due à son défenseur d'office par 360 fr., TVA non comprise, et par moitié à la charge d'O.________. Le remboursement à l'Etat de l'indemnité allouée à son défenseur d'office sera exigible pour autant que la situation économique de F.________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