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91 vom 8. Juli 2009</w:t>
      </w:r>
    </w:p>
    <w:p>
      <w:r>
        <w:t>VD Tribunal cantonal, 2009-07-08, FR</w:t>
      </w:r>
    </w:p>
    <w:p>
      <w:r>
        <w:rPr>
          <w:b/>
        </w:rPr>
        <w:t xml:space="preserve">Quelle: </w:t>
      </w:r>
      <w:r>
        <w:t>https://mcp.opencaselaw.ch/entscheid/vd_findinfo_AP___2009___91</w:t>
      </w:r>
    </w:p>
    <w:p>
      <w:r>
        <w:t>FR: VD_FINDINFO AP / 2009 / 91 du 8 juillet 2009</w:t>
      </w:r>
    </w:p>
    <w:p>
      <w:r>
        <w:t>IT: VD_FINDINFO AP / 2009 / 91 del 8 luglio 2009</w:t>
      </w:r>
    </w:p>
    <w:p>
      <w:pPr>
        <w:pStyle w:val="Heading2"/>
      </w:pPr>
      <w:r>
        <w:t>Regeste</w:t>
      </w:r>
    </w:p>
    <w:p>
      <w:r>
        <w:t>DÉPENS, MESURE PROVISIONNELLE | 92 CPC, 94 CPC</w:t>
      </w:r>
    </w:p>
    <w:p>
      <w:pPr>
        <w:pStyle w:val="Heading2"/>
      </w:pPr>
      <w:r>
        <w:t>Erwägungen</w:t>
      </w:r>
    </w:p>
    <w:p>
      <w:r>
        <w:rPr>
          <w:b/>
        </w:rPr>
        <w:t>E. 1</w:t>
      </w:r>
    </w:p>
    <w:p>
      <w:r>
        <w:t>Le recours, exclusivement en réforme, porte sur le principe des dépens, la recourante prétendant avoir droit à des dépens. L'art. 94 al. 1 CPC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(Poudret/Haldy/Tappy, Procédure civile vaudoise, 3 ème éd., 2002, n. 1 ad art. 94 CPC). Le retrait des conclusions sur le fond en raison d'une demande devenue sans objet est susceptible d'être assimilé à un jugement principal mettant fin à l'instance et pouvant faire l'objet d'un recours en réforme selon l'art. 94 al. 1 CPC pour ce qui concerne le dépens (JT 1997 III 77; JT 1994 III 18). La recourante se prévaut de cette jurisprudence. La jurisprudence précitée vaut pour le cas où une procédure au fond devient sans objet. En l'espèce toutefois, le président du tribunal d'arrondissement a été saisi non pas d'une demande au fond mais d'une requête de mesures préprovisionnelles et provisionnelles du 3 novembre 2008 tendant à l'inscription d'une hypothèque légale des artisans et entrepreneurs d'un montant de 26'460 francs. Le prononcé attaqué s'inscrit ainsi dans le cadre d'une procédure provisionnelle de la compétence du président du tribunal d'arrondissement pour laquelle aucun appel ou recours en réforme n'est ouvert (cf. art. 111 al. 3 CPC). Le prononcé attaqué n'est donc pas susceptible de faire l'objet d'un recours autre qu'en nullité. Il s'ensuit que le recours en réforme sur la question des dépens est irrecevable. La voie du recours en réforme pourrait éventuellement être admise dans une cause provisionnelle lorsque les parties ont passé une transaction dont il a été pris acte pour valoir jugement au fond et non pas seulement pour valoir ordonnance de mesures provisionnelles. Sous cette réserve, le recours sur les dépens est irrecevable s'agissant d'une procédure provisionnelle.</w:t>
      </w:r>
    </w:p>
    <w:p>
      <w:r>
        <w:rPr>
          <w:b/>
        </w:rPr>
        <w:t>E. 2</w:t>
      </w:r>
    </w:p>
    <w:p>
      <w:r>
        <w:t>En conclusion, le recours doit être écarté et le prononcé maintenu. Les frais de deuxième instance de la recourante sont arrêtés à 300 fr. (art. 230 TFJC). Il n'y a pas lieu d'allouer de dépens à l'intimé, qui n'a pas procédé. Par ces motifs, la Chambre des recours du Tribunal cantonal, statuant en audience publique, prononce : I. Le recours est écarté. II. Les frais de deuxième instance de la recourante B.________ SA sont arrêtés à 300 fr. (trois cents francs). III. Il n'est pas alloué de dépens. IV. L'arrêt motivé est exécutoire. L e président : L e greffi er : Du 8 juillet 2009 Le dispositif de l'arrêt qui précède est communiqué par écrit aux intéressés. L e greffi er : Du L'arrêt qui précède, dont la rédaction a été approuvée à huis clos, est notifié en expédition complète, par l'envoi de photocopies à : ‑      Me Cédric Aguet (pour B.________ SA), ‑      M.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