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81 vom 18. September 2008</w:t>
      </w:r>
    </w:p>
    <w:p>
      <w:r>
        <w:t>VD Tribunal cantonal, 2008-09-18, FR</w:t>
      </w:r>
    </w:p>
    <w:p>
      <w:r>
        <w:rPr>
          <w:b/>
        </w:rPr>
        <w:t xml:space="preserve">Quelle: </w:t>
      </w:r>
      <w:r>
        <w:t>https://mcp.opencaselaw.ch/entscheid/vd_findinfo_AP___2009___81</w:t>
      </w:r>
    </w:p>
    <w:p>
      <w:r>
        <w:t>FR: VD_FINDINFO AP / 2009 / 81 du 18 septembre 2008</w:t>
      </w:r>
    </w:p>
    <w:p>
      <w:r>
        <w:t>IT: VD_FINDINFO AP / 2009 / 81 del 18 settembre 2008</w:t>
      </w:r>
    </w:p>
    <w:p>
      <w:pPr>
        <w:pStyle w:val="Heading2"/>
      </w:pPr>
      <w:r>
        <w:t>Regeste</w:t>
      </w:r>
    </w:p>
    <w:p>
      <w:r>
        <w:t>FIXATION DE LA PEINE | 47 CP</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Code de procédure pénale du 12 septembre 1967, RSV 312.01).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Le Ministère public invoque une violation de l'art. 47 CP. Il soutient que les peines qui ont été infligées aux coaccusés sont arbitrairement clémentes.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al. 1 in fine CP impose encore au juge de déterminer l'effet de la peine sur l'avenir du condamné. Ainsi, un tribunal n'est pas contraint d'infliger la peine correspondant à la culpabilité de l'auteur s'il y a lieu de prévoir qu'une peine plus clémente suffira à le détourner de commettre d'autres infractions. Cela suppose toutefois qu'il existe des raisons particulières de penser qu'une peine inférieure à celle qui paraît justifiée au regard de la culpabilité de l'auteur suffira à le remettre sur le droit chemin (FF 1999, pp. 1787 ss, spéc. p. 1866).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(Bovay/Dupuis/Monnier/Moreillon/Piguet, Procédure pénale vaudoise, Code annoté,</w:t>
      </w:r>
    </w:p>
    <w:p>
      <w:r>
        <w:rPr>
          <w:b/>
        </w:rPr>
        <w:t>E. 3</w:t>
      </w:r>
    </w:p>
    <w:p>
      <w:r>
        <w:t>En conclusion, le recours doit être admis et le jugement réformé dans le sens des considérants. Les frais de deuxième instance, y compris l'indemnité allouée au défenseur d'office de X.________ par 494 fr. 95, TVA comprise, celle revenant au défenseur d'office de J.________ par 494 fr. 95, TVA comprise, et celle accordée au défenseur d'office de S.________ par 699 fr. 40,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