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79 vom 31. Juli 2009</w:t>
      </w:r>
    </w:p>
    <w:p>
      <w:r>
        <w:t>VD Tribunal cantonal, 2009-07-31, FR</w:t>
      </w:r>
    </w:p>
    <w:p>
      <w:r>
        <w:rPr>
          <w:b/>
        </w:rPr>
        <w:t xml:space="preserve">Quelle: </w:t>
      </w:r>
      <w:r>
        <w:t>https://mcp.opencaselaw.ch/entscheid/vd_findinfo_AP___2009___79</w:t>
      </w:r>
    </w:p>
    <w:p>
      <w:r>
        <w:t>FR: VD_FINDINFO AP / 2009 / 79 du 31 juillet 2009</w:t>
      </w:r>
    </w:p>
    <w:p>
      <w:r>
        <w:t>IT: VD_FINDINFO AP / 2009 / 79 del 31 luglio 2009</w:t>
      </w:r>
    </w:p>
    <w:p>
      <w:pPr>
        <w:pStyle w:val="Heading2"/>
      </w:pPr>
      <w:r>
        <w:t>Regeste</w:t>
      </w:r>
    </w:p>
    <w:p>
      <w:r>
        <w:t>MESURE PROVISIONNELLE, TRIBUNAL DES PRUD'HOMMES, LOI CANTONALE RELATIVE À LA PROCÉDURE EN MATIÈRE DE CONTRAT DE TRAVAIL | 60 CPC, 7 al. 1 LFors, 7 LFors</w:t>
      </w:r>
    </w:p>
    <w:p>
      <w:pPr>
        <w:pStyle w:val="Heading2"/>
      </w:pPr>
      <w:r>
        <w:t>Erwägungen</w:t>
      </w:r>
    </w:p>
    <w:p>
      <w:r>
        <w:rPr>
          <w:b/>
        </w:rPr>
        <w:t>E. 1</w:t>
      </w:r>
    </w:p>
    <w:p>
      <w:r>
        <w:t>L'ordonnance attaquée a été rendue par un président de tribunal de prud'hommes. Au ch. III du dispositif de l'ordonnance, il a prononcé le déclinatoire pour la cause provisionnelle opposant la recourante à l'intimé Y.________. En matière de mesures provisionnelles prud'homales, l'ordonnance n'est pas susceptible de recours ou d'appel (art. 21 LJT). Cela vaut toutefois pour les mesures provisionnelles stricto sensu. Une approche différente s'impose pour ce qui concerne la décision sur déclinatoire. La jurisprudence rendue dans le cadre de l'art. 60 CPC admet un recours immédiat contre tout jugement sur déclinatoire, y compris en matière de mesures provisionnelles (Poudret/Haldy/Tappy, Procédure civile vaudoise, 3 ème éd., 2002, n. 1 ad art. 60 CPC). L'art. 21 LJT n'introduit pas de dérogation à ce système. Il exclut uniquement un appel ou un recours sur les mesures provisionnelles elles-mêmes. Le déclinatoire est à part. En vertu de l'art. 31 al. 3 LJT, en cas d'admission comme en l'espèce du déclinatoire, un recours immédiat est ouvert. On rejoint alors le recours de l'art. 60 CC (par le renvoi de l'art. 46 al. 2 LJT; Ducret/Osojnak, Procédures spéciales vaudoises, n. 7 ad art. 31 LJT). Il faut par conséquent retenir qu'en l'occurrence, un recours immédiat est ouvert contre l'admission du déclinatoire au ch. III du dispositif de l'ordonnance attaquée.</w:t>
      </w:r>
    </w:p>
    <w:p>
      <w:r>
        <w:rPr>
          <w:b/>
        </w:rPr>
        <w:t>E. 2</w:t>
      </w:r>
    </w:p>
    <w:p>
      <w:r>
        <w:t>Le recours tend désormais uniquement à la réforme. Il a été formé à temps et dans les formes requises (art. 47 LJT). Le recours étant dirigé contre une décision émanant d'un président de tribunal de prud'hommes, la cour de céans dispose en réforme du pouvoir d'examen prévu à l'art. 452 CPC (par le renvoi de l'art. 46 al. 2 LJT).</w:t>
      </w:r>
    </w:p>
    <w:p>
      <w:r>
        <w:rPr>
          <w:b/>
        </w:rPr>
        <w:t>E. 3</w:t>
      </w:r>
    </w:p>
    <w:p>
      <w:r>
        <w:t>La recourante ne prétend pas qu'elle aurait été liée à l'intimé Y.________ par un contrat de travail. Elle reproche à celui-ci d'avoir débauché l'intimée Q.________, qui était son employée, d'avoir obtenu de celle-ci des documents dans l'optique de livrer une concurrence déloyale. Selon elle, le tribunal de prud'hommes étant compétent pour ses rapports avec son ex-employée Q.________, il l'est aussi pour violation de la LCD dont elle entend se prévaloir à l'encontre de Y.________. Selon l'art. 7 al. 1 LFors, lorsque l'action est intentée contre plusieurs consorts, le tribunal compétent à l'égard d'un défendeur l'est à l'égard de tous les autres. Selon la jurisprudence, le but de cette disposition, en créant un for unique pour les prétentions dirigées contre plusieurs défendeurs entre lesquels il existe un certain rapport matériel est d'éviter la survenance de jugements contradictoires et de favoriser une liquidation efficace et économique des litiges. Elle s'applique pour toutes les sortes de consorité, que ce soit la consorité nécessaire ou la consorité simple (passive) (ATF 129 III 80 c. 2.1 et 2.2, JT 2003 I 636). L'art. 7 LFors n'a cependant pas d'effet sur la compétence matérielle des tribunaux (Poudret/Haldy/Tappy, op. cit., n.</w:t>
      </w:r>
    </w:p>
    <w:p>
      <w:r>
        <w:rPr>
          <w:b/>
        </w:rPr>
        <w:t>E. 4</w:t>
      </w:r>
    </w:p>
    <w:p>
      <w:r>
        <w:t>En définitive, le recours doit être rejeté et l'ordonnance confirmée. L'arrêt est rendu sans frais. Par ces motifs, la Chambre des recours du Tribunal cantonal, statuant en audience publique, prononce : I. Le recours est rejeté. II. L'ordonnance est confirmée. III. L'arrêt est rendu sans frais. IV. L'arrêt motivé est exécutoire. L e président : L e greffi er : Du 31 juillet 2009 Le dispositif de l'arrêt qui précède est communiqué par écrit aux intéressés. L e greffi er : Du L'arrêt qui précède, dont la rédaction a été approuvée à huis clos, est notifié en expédition complète, par l'envoi de photocopies à : ‑      Me Paul Marville (pour X.________ Sàrl), ‑      Me Christian Bettex (pour Q.________ et J.Y.________).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 Broye et du Nord vaudois.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