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AP / 2009 / 78 vom 7. Januar 2009</w:t>
      </w:r>
    </w:p>
    <w:p>
      <w:r>
        <w:t>VD Tribunal cantonal, 2009-01-07, FR</w:t>
      </w:r>
    </w:p>
    <w:p>
      <w:r>
        <w:rPr>
          <w:b/>
        </w:rPr>
        <w:t xml:space="preserve">Quelle: </w:t>
      </w:r>
      <w:r>
        <w:t>https://mcp.opencaselaw.ch/entscheid/vd_findinfo_AP___2009___78</w:t>
      </w:r>
    </w:p>
    <w:p>
      <w:r>
        <w:t>FR: VD_FINDINFO AP / 2009 / 78 du 7 janvier 2009</w:t>
      </w:r>
    </w:p>
    <w:p>
      <w:r>
        <w:t>IT: VD_FINDINFO AP / 2009 / 78 del 7 gennaio 2009</w:t>
      </w:r>
    </w:p>
    <w:p>
      <w:pPr>
        <w:pStyle w:val="Heading2"/>
      </w:pPr>
      <w:r>
        <w:t>Regeste</w:t>
      </w:r>
    </w:p>
    <w:p>
      <w:r>
        <w:t>MOYEN DE DROIT CANTONAL, IN DUBIO PRO REO | 411 let. g CPP, 411 let. i CPP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 est admis et le jugement réformé dans le sens des considérants. Les frais de deuxième instance sont laissés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