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72 vom 24. Juni 2009</w:t>
      </w:r>
    </w:p>
    <w:p>
      <w:r>
        <w:t>VD Tribunal cantonal, 2009-06-24, FR</w:t>
      </w:r>
    </w:p>
    <w:p>
      <w:r>
        <w:rPr>
          <w:b/>
        </w:rPr>
        <w:t xml:space="preserve">Quelle: </w:t>
      </w:r>
      <w:r>
        <w:t>https://mcp.opencaselaw.ch/entscheid/vd_findinfo_AP___2009___72</w:t>
      </w:r>
    </w:p>
    <w:p>
      <w:r>
        <w:t>FR: VD_FINDINFO AP / 2009 / 72 du 24 juin 2009</w:t>
      </w:r>
    </w:p>
    <w:p>
      <w:r>
        <w:t>IT: VD_FINDINFO AP / 2009 / 72 del 24 giugno 2009</w:t>
      </w:r>
    </w:p>
    <w:p>
      <w:pPr>
        <w:pStyle w:val="Heading2"/>
      </w:pPr>
      <w:r>
        <w:t>Regeste</w:t>
      </w:r>
    </w:p>
    <w:p>
      <w:r>
        <w:t>DÉPENS, DÉCISION INCIDENTE, RÉDUCTION{EN GÉNÉRAL} | 60 CPC, 91 CPC, 92 CPC, 94 CPC</w:t>
      </w:r>
    </w:p>
    <w:p>
      <w:pPr>
        <w:pStyle w:val="Heading2"/>
      </w:pPr>
      <w:r>
        <w:t>Erwägungen</w:t>
      </w:r>
    </w:p>
    <w:p>
      <w:r>
        <w:rPr>
          <w:b/>
        </w:rPr>
        <w:t>E. 1</w:t>
      </w:r>
    </w:p>
    <w:p>
      <w:r>
        <w:t>a) L'art. 94 al. 1 CPC (Code de procédure civile du 14 décembre 1966; RSV 270.11) ouvre la voie du recours au Tribunal cantonal contre la décision relative à l'adjudication des dépens, alors même que la décision au fond n'est pas attaquée. La jurisprudence a toutefois précisé que ce recours n'est ouvert que si la décision au fond est elle-même susceptible d'un recours autre qu'en nullité (JT 2001 III 2 c. 1; JT 1994 III 78; Poudret/Haldy/Tappy, Procédure civile vaudoise, 3 ème éd., Lausanne 2002, n. 1 ad art. 94 CPC, p. 186 et réf.). En l'espèce, le jugement attaqué statue sur une requête en déclinatoire et constitue ainsi un jugement incident (art. 59 CPC), susceptible d'un recours autre qu'en nullité conformément à l'art. 60 CPC (Poudret/Haldy/Tappy, op. cit., n. 2 ad art. 60 CPC, p. 103). Interjeté en temps utile compte tenu des féries ( cf. art. 39 al. 1 let. c CPC) , le recours, qui tend à la réforme du jugement, est donc recevable. b) Saisie d'un recours sur les dépens, la Chambre des recours revoit librement la cause en fait et en droit (art. 94 al.</w:t>
      </w:r>
    </w:p>
    <w:p>
      <w:r>
        <w:rPr>
          <w:b/>
        </w:rPr>
        <w:t>E. 4</w:t>
      </w:r>
    </w:p>
    <w:p>
      <w:r>
        <w:t>décembre 1984 des frais judiciaires en matière civile; RSV 270.11.5]). Les dépens de l'incident auxquels le recourant a droit s'élèvent ainsi au total à 800 francs. 3. En conclusion, le recours doit être admis et le jugement complété en ce sens que l'intimée doit au recourant la somme de 800 fr. à titre de dépens de l'incident. Il est confirmé pour le surplus. Les frais de deuxième instance du recourant sont arrêtés à 150 fr. (art. 230 al. 1 TFJC ). Le recourant obtenant gain de cause, il a droit à des dépens de deuxième instance, fixés à 245 fr. (art. 91 et 92 CPC; art. 2 al. 1 ch. 33, 3 et 5 ch. 2 TAv [ tarif des honoraires d'avocat dus à titre de dépens du 17 juin 1986; RSV 177.11.3] ). Par ces motifs, la Chambre des recours du Tribunal cantonal, statuant en audience publique, prononce : I. Le recours est admis. II. Le jugement incident est complété par un chiffre IV comme il suit : IV.   La demanderesse doit verser au défendeur la somme de 800 fr. (huit cents francs) à titre de dépens de l'incident. Le jugement est confirmé pour le surplus. III. Les frais de deuxième instance du recourant sont arrêtés à 150 fr. (cent cinquante francs). IV. L'intimée E.________ doit verser au recourant K.________ la somme de 245 fr. (deux cent quarante-cinq francs) à titre de dépens de deuxième instance. V. L'arrêt motivé est exécutoire. L e président : L a greffi ère : Du 24 juin 2009 Le dispositif de l'arrêt qui précède est communiqué par écrit aux intéressés. L a greffi ère : Du L'arrêt qui précède, dont la rédaction a été approuvée à huis clos, est notifié en expédition complète, par l'envoi de photocopies, à : ‑      Me Katia Pezuela (pour K.________), ‑ E.________. La Chambre des recours considère que la valeur litigieuse est de 950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