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57 vom 18. Mai 2009</w:t>
      </w:r>
    </w:p>
    <w:p>
      <w:r>
        <w:t>VD Tribunal cantonal, 2009-05-18, FR</w:t>
      </w:r>
    </w:p>
    <w:p>
      <w:r>
        <w:rPr>
          <w:b/>
        </w:rPr>
        <w:t xml:space="preserve">Quelle: </w:t>
      </w:r>
      <w:r>
        <w:t>https://mcp.opencaselaw.ch/entscheid/vd_findinfo_AP___2009___57</w:t>
      </w:r>
    </w:p>
    <w:p>
      <w:r>
        <w:t>FR: VD_FINDINFO AP / 2009 / 57 du 18 mai 2009</w:t>
      </w:r>
    </w:p>
    <w:p>
      <w:r>
        <w:t>IT: VD_FINDINFO AP / 2009 / 57 del 18 maggio 2009</w:t>
      </w:r>
    </w:p>
    <w:p>
      <w:pPr>
        <w:pStyle w:val="Heading2"/>
      </w:pPr>
      <w:r>
        <w:t>Regeste</w:t>
      </w:r>
    </w:p>
    <w:p>
      <w:r>
        <w:t>TRAVAIL D'INTÉRÊT GÉNÉRAL | 39 al. 1 CP</w:t>
      </w:r>
    </w:p>
    <w:p>
      <w:pPr>
        <w:pStyle w:val="Heading2"/>
      </w:pPr>
      <w:r>
        <w:t>Erwägungen</w:t>
      </w:r>
    </w:p>
    <w:p>
      <w:r>
        <w:rPr>
          <w:b/>
        </w:rPr>
        <w:t>E. 1</w:t>
      </w:r>
    </w:p>
    <w:p>
      <w:r>
        <w:t>La première question qui se pose en l'espèce est celle de la recevabilité du recours. Lors de l'audience du 25 novembre 2008, H.________ a été informé que le jugement à intervenir lui serait notifié par la poste à l'adresse qu'il avait indiquée. Par lettre du 30 mars 2009, H.________ s'adressait au Juge d'application des peines pour l'informer qu'il n'avait toujours rien reçu. Il a écrit une nouvelle fois dans ce sens au magistrat de première instance le 16 avril 2009. En l'espèce, on ne saurait inférer des pièces figurant au dossier que le prononcé litigieux est bien parvenu à l'adresse du recourant. Il n'existe au demeurant aucun élément dans le dossier qui permettrait de dire que ce dernier a été négligent, l'intéressé ayant au contraire lui-même interpellé le Juge d'application des peines pour savoir où en était la procédure. Cela étant, le recours de H.________ doit être considéré comme déposé en temps utile. La lecture de ses courriers permet en outre clairement de comprendre que l'intéressé conteste la conversion de la peine. Partant, le recours est recevable en la forme.</w:t>
      </w:r>
    </w:p>
    <w:p>
      <w:r>
        <w:rPr>
          <w:b/>
        </w:rPr>
        <w:t>E. 2</w:t>
      </w:r>
    </w:p>
    <w:p>
      <w:r>
        <w:t>H.________ conteste la décision prise à son encontre par le Juge d'application des peines et refuse d'aller en prison. Aux termes de l'art. 39 CP, le juge convertit le travail d'intérêt général en une peine pécuniaire ou en une peine privative de liberté dans la mesure où, malgré un avertissement, le condamné ne l'exécute pas conformément au jugement ou aux conditions et charges fixées par l'autorité compétente. En l'occurrence, le Juge d'instruction de l'arrondissement de La Côte a condamné H.________ à cent vingt heures de TIG, pour avoir séjourné illégalement en Suisse. L'Office d'exécution des peines estime que le recourant ne peut exécuter une telle peine car il ne possède pas d'autorisation de séjour. Or, l'ordonnance de condamnation n'a fait l'objet d'aucune opposition et elle est aujourd'hui exécutoire. A défaut de circonstance nouvelle imputable à faute au condamné, l'art. 39 al. 1 CP ne peut s'appliquer par analogie. La décision du premier juge ne peut donc qu'être réformée en ce sens qu'il n'est pas procédé à la conversion de la peine de TIG litigieuse en une peine privative de liberté.</w:t>
      </w:r>
    </w:p>
    <w:p>
      <w:r>
        <w:rPr>
          <w:b/>
        </w:rPr>
        <w:t>E. 3</w:t>
      </w:r>
    </w:p>
    <w:p>
      <w:r>
        <w:t>En définitive, le recours doit être admis et le jugement réformé dans le sens des considérants. Les frais de deuxième instance seront supportés par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