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42 vom 19. Februar 2009</w:t>
      </w:r>
    </w:p>
    <w:p>
      <w:r>
        <w:t>VD Tribunal cantonal, 2009-02-19, FR</w:t>
      </w:r>
    </w:p>
    <w:p>
      <w:r>
        <w:rPr>
          <w:b/>
        </w:rPr>
        <w:t xml:space="preserve">Quelle: </w:t>
      </w:r>
      <w:r>
        <w:t>https://mcp.opencaselaw.ch/entscheid/vd_findinfo_AP___2009___42</w:t>
      </w:r>
    </w:p>
    <w:p>
      <w:r>
        <w:t>FR: VD_FINDINFO AP / 2009 / 42 du 19 février 2009</w:t>
      </w:r>
    </w:p>
    <w:p>
      <w:r>
        <w:t>IT: VD_FINDINFO AP / 2009 / 42 del 19 febbraio 2009</w:t>
      </w:r>
    </w:p>
    <w:p>
      <w:pPr>
        <w:pStyle w:val="Heading2"/>
      </w:pPr>
      <w:r>
        <w:t>Regeste</w:t>
      </w:r>
    </w:p>
    <w:p>
      <w:r>
        <w:t>LÉSION CORPORELLE SIMPLE, INJURE, ATTÉNUATION DE LA PEINE, ATTÉNUATION LIBRE DE LA PEINE | 123 ch. 1 al. 1 CP, 123 ch. 1 al. 2 CP, 123 ch. 1 CP, 123 CP, 48 let. c CP, 48a CP,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l'espèce, il convient d'examiner en premier lieu les moyens de nullité - que le recourant invoque d'ailleurs à titre principal -, ceux-ci pouvant faire apparaître des doutes sur l'existence des faits admis et importants pour le jugement de la cause (art. 411 let. i CPP). Recours en nullité</w:t>
      </w:r>
    </w:p>
    <w:p>
      <w:r>
        <w:rPr>
          <w:b/>
        </w:rPr>
        <w:t>E. 2</w:t>
      </w:r>
    </w:p>
    <w:p>
      <w:r>
        <w:t>a) Le recourant prétend que la version des faits retenue par le tribunal est incompatible avec le certificat médical établi le même jour. Il conteste avoir agrippé la plaignante à l'épaule gauche, lui avoir mis ses mains autour du cou et avoir serré. b) Le moyen tiré de l'article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Le recours en nullité ne doit pas permettre au recourant de discuter à nouveau librement les faits devant l'autorité de recours, à laquelle il appartiendrait de choisir la version la plus vraisemblable (JT 1991 III 45). c) En l'espèce, c'est précisément ce que le recourant tente de faire. Il essaie de démontrer, de manière appellatoire et en se fondant sur des éléments du dossier, que sa version de faits est préférable à celle retenue dans le jugement. Contrairement à ce qu'il soutient, le tribunal pouvait sans arbitraire considérer, au vu du constat médical établi moins d'une heure après l'altercation, qu'il y avait des indices de violence à l'égard de P.________. Les tuméfactions peuvent provenir du fait que la plaignante a été saisie violemment à l'épaule gauche. L'hématome à la mandibule peut très bien provenir du fait que T.________ lui a plongé la tête dans la poubelle. Certes, le médecin n'a pas constaté de marques d'étranglement, mais P.________ a elle-même admis que son agresseur n'avait pas serré fort avec ses deux mains lorsqu'il l'avait saisie au cou (jugement, p. 7). En ce qui concerne les injures, le tribunal les a retenues en se fondant sur les déclarations de la victime et le fait que le recourant l'avait déjà traitée de salope et de sale pute. Il n'y a rien d'arbitraire dans cette appréciation. Au demeurant, selon sa version des faits, le recourant aurait dit à sa victime: "c'est du sang qui coule sur mon visage et du sperme sur le tien", ce qui sous-entendait la même chose et est injurieux également. d) Mal fondé, le recours en nullité doit donc être rejeté. Recours en réforme</w:t>
      </w:r>
    </w:p>
    <w:p>
      <w:r>
        <w:rPr>
          <w:b/>
        </w:rPr>
        <w:t>E. 3</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4</w:t>
      </w:r>
    </w:p>
    <w:p>
      <w:r>
        <w:t>Le recours en réforme est pour l'essentiel fondé sur l'admission du recours en nullité et la correction de l'état de fait que cela aurait impliqué. Le recours en nullité étant rejeté, le recours en réforme doit l'être également dans cette mesure.</w:t>
      </w:r>
    </w:p>
    <w:p>
      <w:r>
        <w:rPr>
          <w:b/>
        </w:rPr>
        <w:t>E. 5</w:t>
      </w:r>
    </w:p>
    <w:p>
      <w:r>
        <w:t>a) Le recourant conteste la qualification juridique de l'agression de lésions corporelles simples, les faits constitutifs de l'art. 123 CP n'étant selon lui pas réunis. b)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 Corboz, Les infractions en droit suisse, vol. I, Berne 2002 , n. 1 et 3 ad art. 123 CP). L'art. 123 CP vise en particulier toutes les dégradations du corps humain, que la lésion soit externe ou interne, à la suite d'un choc ou de l'emploi d'un objet, telles les fractures sans complications, les foulures, les coupures et les hématomes (Corboz, op. cit., n. 7 ss ad art. 123 CP; ATF 119 IV 25, consid. 2a; ATF 107 IV 40, consid.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l'œil et une meurtrissure à la lèvre (ATF 103 IV 65, consid.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l'article 123 CP, mais seulement de voies de fait selon l'art. 126 CP, qui constituent l'atteinte la plus insignifiante au corps humain (ATF 119 IV 25, précité; ATF 117 IV 14, consid. 2a/cc, JT 1993 IV 37). c) Le certificat établi par le médecin consulté dans l'heure qui a suivi l'agression fait état de divers hématomes et contusions. Conformément à la jurisprudence précitée, il s'agit donc bien de lésions corporelles simples. Le cas est certes très proche des voies de fait, mais, dès lors que des traces ont pu être constatées, c'est l'art. 123 CP qui est applicable.</w:t>
      </w:r>
    </w:p>
    <w:p>
      <w:r>
        <w:rPr>
          <w:b/>
        </w:rPr>
        <w:t>E. 6</w:t>
      </w:r>
    </w:p>
    <w:p>
      <w:r>
        <w:t>a) Le recourant ne conteste pas la quotité de la peine. Toutefois, dans le cadre du pouvoir d'examen conféré à la cour de céans et dans la mesure où les conclusions en réforme le permettent, la peine peut être revue. b) En l'espèce, compte tenu des faits retenus, la peine infligée (trente jours-amende et 510 fr. d'amende à titre de sanction immédiate) est particulièrement sévère. Pour fixer la peine, le tribunal a retenu à charge de T.________ qu'il n'aurait pas dû céder aux provocations de la plaignante: bien qu'il ait pu légitimement être blessé par les injures relatives à sa mère, il n'était pas autorisé à molester la plaignante et à l'insulter. Le premier juge a également tenu compte du fait que le casier judiciaire du recourant n'était pas vierge (violation grave des règles de la circulation routière). A décharge, il a retenu le contexte passionnel dans lequel les faits se sont produits et le coup dont T.________ a lui-même été victime. Ce dernier aspect est manifestement minimisé puisqu'en fait T.________ s'est alors "mis à saigner abondamment". En outre, le premier juge n'a pas tenu compte du fait que P.________ avait tout d'abord donné plusieurs coups de poing sur le torse de T.________. Or l'examen de ces éléments s'imposait en vertu de l'art. 48a CP, qui permet de diminuer librement la peine. En l'occurrence, il existe une double raison de faire application de l'art. 48a CP. D'une part, il s'agit d'un cas de peu de gravité au sens de l'art. 123 al. 1 i. f. CP. D'autre part, compte tenu des injures et de la blessure subie par le recourant, on peut admettre qu'il était sous le coup d'une émotion violente au sens de l'art. 48 let. c CP. Ces circonstances justifient une diminution de la peine qui doit être ramenée à dix jours-amende sans amende en sus. La peine privative de liberté de substitution prévue par le tribunal pour le cas où l'amende ne serait pas payée n'a ainsi plus d'objet.</w:t>
      </w:r>
    </w:p>
    <w:p>
      <w:r>
        <w:rPr>
          <w:b/>
        </w:rPr>
        <w:t>E. 7</w:t>
      </w:r>
    </w:p>
    <w:p>
      <w:r>
        <w:t>En conclusion, le recours de T.________ doit être partiellement admis et le jugement réformé dans le sens des considérants qui précèdent.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