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37 vom 23. Dezember 2008</w:t>
      </w:r>
    </w:p>
    <w:p>
      <w:r>
        <w:t>VD Tribunal cantonal, 2008-12-23, FR</w:t>
      </w:r>
    </w:p>
    <w:p>
      <w:r>
        <w:rPr>
          <w:b/>
        </w:rPr>
        <w:t xml:space="preserve">Quelle: </w:t>
      </w:r>
      <w:r>
        <w:t>https://mcp.opencaselaw.ch/entscheid/vd_findinfo_AP___2009___37</w:t>
      </w:r>
    </w:p>
    <w:p>
      <w:r>
        <w:t>FR: VD_FINDINFO AP / 2009 / 37 du 23 décembre 2008</w:t>
      </w:r>
    </w:p>
    <w:p>
      <w:r>
        <w:t>IT: VD_FINDINFO AP / 2009 / 37 del 23 dicembre 2008</w:t>
      </w:r>
    </w:p>
    <w:p>
      <w:pPr>
        <w:pStyle w:val="Heading2"/>
      </w:pPr>
      <w:r>
        <w:t>Regeste</w:t>
      </w:r>
    </w:p>
    <w:p>
      <w:r>
        <w:t>ACTION D'ÉTAT, ÉTAT CIVIL | 15 LEC</w:t>
      </w:r>
    </w:p>
    <w:p>
      <w:pPr>
        <w:pStyle w:val="Heading2"/>
      </w:pPr>
      <w:r>
        <w:t>Erwägungen</w:t>
      </w:r>
    </w:p>
    <w:p>
      <w:r>
        <w:rPr>
          <w:b/>
        </w:rPr>
        <w:t>E. 1</w:t>
      </w:r>
    </w:p>
    <w:p>
      <w:r>
        <w:t>Est compétent pour ordonner la modification d'une inscription, ainsi que l'inscription de tout fait survenu à l'étranger non établi par un acte d'état civil, le président du tribunal d'arrondissement où se trouve le registre à modifier (art. 16 LEC (ci-après : loi vaudoise sur l'état civil du 25 novembre 1987; RSV 211.11). Cette compétence pour la modification des actes de l'état civil selon l'art. 42 CC est aussi donnée par l'art. 4 ch. 2 LVCC (loi vaudoise d'introduction dans le Canton de Vaud du Code civil suisse; RSV 211.01). Le recours contentieux au Tribunal cantonal est ouvert aux parties contre une décision présidentielle en modification d'inscription (art. 24 al. 1 LEC). Interjeté par une partie, le présent recours est donc recevable conformément aux règles régissant le recours contentieux, en particulier en réforme (art. 451 ch.</w:t>
      </w:r>
    </w:p>
    <w:p>
      <w:r>
        <w:rPr>
          <w:b/>
        </w:rPr>
        <w:t>E. 3</w:t>
      </w:r>
    </w:p>
    <w:p>
      <w:r>
        <w:t>Les conclusions du recours reprennent celles de la première instance en ce qui concerne la modification du nom de la mère (modifié en  D.Ai________) et de la date de naissance de la mère. En revanche, les conclusions ne tendent plus à une modification en ce sens que la mère de la recourante "n'était pas mariée au moment de la naissance si bien que l'enfant porte le patronyme [...]". Réduites par rapport à celles de la première instance, les conclusions en réforme sont recevables (art. 452 al. 1 CPC). Le recours sur les dépens également (art. 94 al. 3 CPC). L e Tribunal cantonal revoit librement la cause en fait et en droit (art. 452 al. 2 CPC).</w:t>
      </w:r>
    </w:p>
    <w:p>
      <w:r>
        <w:rPr>
          <w:b/>
        </w:rPr>
        <w:t>E. 4</w:t>
      </w:r>
    </w:p>
    <w:p>
      <w:r>
        <w:t>a) La présente cause présente un élément d'extranéité puisque les parties sont de nationalité étrangère. La transcription du nom dans les registres de l'état civil a lieu conformément aux principes suisses sur la tenue des registres (art. 40 LDIP [loi fédérale sur le droit international privé]). Cette disposition a pour objet d'assurer une transcription des noms d'origine étrangère d'une façon qui permette aux registres de remplir leur fonction. L'inscription doit être intégrale et exacte (Dutoit, Commentaire LDIP, 4ème éd., 2005, n. 1 ad art. 40 LDIP). b) Toute personne qui justifie d'un intérêt personnel légitime peut demander au juge d'ordonner l'inscription, la rectification ou la radiation de données litigieuses relatives à l'état civil (art. 42 al. 1 première phrase CC). L'art. 15 LEC prévoit que la modification d'une inscription d'état civil peut être demandée par toute personne justifiant d'un intérêt personnel légitime, par le Ministère public ou par le département. La notion d'intérêt personnel légitime est identique aux art. 42 al. 1 CC et 15 LEC; elle est de droit fédéral.</w:t>
      </w:r>
    </w:p>
    <w:p>
      <w:r>
        <w:rPr>
          <w:b/>
        </w:rPr>
        <w:t>E. 5</w:t>
      </w:r>
    </w:p>
    <w:p>
      <w:r>
        <w:t>A sa naissance, les parents ont déclaré que la recourante était la fille des époux B.I.________ et D.A.________, alors que les parents n'étaient pas mariés et que la mère s'appelait D.A.________. L'enfant dont la mère n'est pas mariée avec le père acquiert le nom de la mère (art. 270 al. 2 CC). En l'espèce, l'inscription sur le registre des naissances s'est trouvée inexacte parce que l'officier de l'état civil avait été tenu dans l'ignorance du nom réel de la mère. En vertu de l'art. 42 al. 1 CC, toute personne qui justifie d'un intérêt personnel légitime peut demander au juge d'ordonner l'inscription, la rectification ou la radiation de données litigieuses relatives à l'état civil. Dans la présente action en rectification selon cette disposition, le père s'oppose à la modification du nom de famille de l'enfant pour le motif qu'il a vécu durant trois ans avec ce dernier, que celle-ci porte son nom depuis la naissance et que l'enfant n'est pas en mesure de s'exprimer au sujet d'un changement de nom. Cette contestation implique que l'action en rectification selon l'art. 42 CC ne pourrait aboutir qu'à une modification de l'inscription sans que soit établi le véritable état civil du père. Ce n'est dès lors qu'une action d'état concernant le nom de famille qui pourrait permettre de faire constater par le juge l'existence d'un droit se rapportant à l'état civil (ATF 100 II 290 c. 1; Bucher, Personnes physiques et protection de la personnalité, 5 ème éd., 2009, n. 295 p. 65). La solution du jugement doit donc être confirmée pour ce motif. On peut relever que, de toute manière, même dans le cadre de son action en rectification, la recourante s'est contentée de conclure à la modification du nom de sa mère, sans que le sien propre le soit. C'est dès lors à juste titre que le premier juge a conclu que l'enfant ne pouvait pas justifier d'un intérêt personnel légitime à la rectification : la recourante ne prétendait pas seulement qu'elle avait un tel intérêt, ni que sa filiation était inexacte, de sorte que cet intérêt faisait défaut. Au surplus, il est douteux que, comme elle le soutient, la recourante ait un intérêt à ce que sa mère porte son vrai nom dans le registre des naissances, notamment pour le cas d'une prétention successorale, puisqu'alors une divergence de noms entre elles ne favoriserait pas le constat du lien de filiation. Il est vrai qu'initialement, dans le cadre de sa demande "en constatation d'état civil" adressée au tribunal d'arrondissement, la recourante avait notamment conclu à une modification du registre des naissances "si bien que l'enfant porte le patronyme [...]". Savoir s'il s'agissait là d'une action d'état civil tendant à faire constater l'existence d'un droit se rapportant à l'état civil, dans la compétence du tribunal d'arrondissement (art. 5 LVCC), peut demeurer indécis, dès lors que la recourante ne se plaint pas de ce que le premier juge a traité seul cette demande sous l'angle de l'action en rectification (art. 4 LVCC) et qu'en particulier, elle ne prend pas de conclusions en annulation (art. 444 al. 1 ch. 1 CPC). Au vu de ce qui précède, les conclusions de la recourante tendant à la modification du registre des naissances doivent être rejetées.</w:t>
      </w:r>
    </w:p>
    <w:p>
      <w:r>
        <w:rPr>
          <w:b/>
        </w:rPr>
        <w:t>E. 6</w:t>
      </w:r>
    </w:p>
    <w:p>
      <w:r>
        <w:t>La recourante conclut aussi qu'elle ne doit pas payer de dépens à son père, qui a obtenu gain de cause. La procédure judiciaire en matière d'action en rectification de l'état civil est régie par les art. 15 ss LEC. Selon l'art. 19 LEC, le président donne avis de la fixation d'office d'une audience à la partie demanderesse, au Ministère public et, en outre, par insertion dans la Feuille des avis officiels et par affichage au pilier public du for, à tout tiers intéressé. Celui qui entend s'opposer à la rectification doit déposer au greffe, dix jours au moins avant l'audience, une déclaration écrite et brièvement motivée (art. 20 al. 1 LEC). Lorsque aucun tiers n'a formé d'opposition et que le Ministère public donne un préavis favorable, la cause s'instruit, autant que possible, en une seule audience (art. 22 al. 1 LEC). La procédure accélérée s'applique par analogie et dans la mesure où cela est compatible avec l'absence de partie défenderesse (art. 22 al. 2 LEC). L'art. 23 LEC prévoit qu'en cas d'admission de la demande, les frais peuvent être laissés à la charge de l'Etat. Pour des motifs d'équité, l'Etat peut en outre être condamné exceptionnellement à des dépens. En l'espèce, les personnes visées par la rectification de l'inscription au registre de l'état civil sont les père et mère de la recourante; ceux-ci ont été assignés à l'audience de jugement appointée le 30 septembre 2008. A la requête du père et avec l'accord de la mère, cette audience a été renvoyée pour permettre au père de déposer une réponse, dans laquelle il a conclu au rejet des conclusions de la demande. Il faut admettre que le père a formé opposition et qu'il était ensuite partie à la procédure. Les conclusions reconventionnelles prises par le père tendaient à ce que les "données de l'Etat civil" soient modifiées en ce sens que la recourante est née de parents non mariés. La mère s'est opposée auxdites conclusions, qui ont été rejetées : après que le premier juge eut considéré qu'elles se heurtaient aux mêmes objections que celles dirigées contre les conclusions de la recourante (partie en droit, c. 2), il a omis de les rejeter formellement dans le dispositif. Le père ne s'est donc pas borné à former opposition à la demande de rectification, mais a présenté lui-même une telle demande, qui a été rejetée, ce qui justifie de compenser les dépens de première instance.</w:t>
      </w:r>
    </w:p>
    <w:p>
      <w:r>
        <w:rPr>
          <w:b/>
        </w:rPr>
        <w:t>E. 7</w:t>
      </w:r>
    </w:p>
    <w:p>
      <w:r>
        <w:t>En définitive, le recours doit être admis partiellement et le jugement réformé au chiffre III de son dispositif en ce sens que les dépens sont compensés. Le jugement est confirmé pour le surplus. Les frais de deuxième instance de la recourante sont arrêtés à 300 fr. (art. 233 TFJC). La recourante  doit verser à l'intimé  la somme de 800 fr. à titre de dépens de deuxième instance. Par ces motifs, la Chambre des recours du Tribunal cantonal, statuant en audience publique, prononce : I. Le recours est partiellement admis. II. Le jugement est réformé au chiffre III de son dispositif comme il suit : III. Les dépens sont compensés. Il est confirmé pour le surplus. III. Les frais de deuxième instance de la recourante sont arrêtés à 300 fr. (trois cents francs). IV. La recourante  A.I.________ doit verser à l'intimé  B.I.________ la somme de 800 fr. (huit cents francs) à titre de dépens de seconde instance. V. L'arrêt motivé est exécutoire. L e président : L e greffi er : Du 6 avril 2009 Le dispositif de l'arrêt qui précède est communiqué par écrit aux intéressés. L e greffi er : Du L'arrêt qui précède, dont la rédaction a été approuvée à huis clos, est notifié en expédition complète, par l'envoi de photocopies à : ‑      Me Monique Gisel (pour A.I.________), ‑      Me Maryse Jornod (pour B.I.________), -      Mme D.Ai________, -      Ministère public, -      Service de la population, Direction de l'état civil.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