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36 vom 29. Januar 2009</w:t>
      </w:r>
    </w:p>
    <w:p>
      <w:r>
        <w:t>VD Tribunal cantonal, 2009-01-29, FR</w:t>
      </w:r>
    </w:p>
    <w:p>
      <w:r>
        <w:rPr>
          <w:b/>
        </w:rPr>
        <w:t xml:space="preserve">Quelle: </w:t>
      </w:r>
      <w:r>
        <w:t>https://mcp.opencaselaw.ch/entscheid/vd_findinfo_AP___2009___36</w:t>
      </w:r>
    </w:p>
    <w:p>
      <w:r>
        <w:t>FR: VD_FINDINFO AP / 2009 / 36 du 29 janvier 2009</w:t>
      </w:r>
    </w:p>
    <w:p>
      <w:r>
        <w:t>IT: VD_FINDINFO AP / 2009 / 36 del 29 gennaio 2009</w:t>
      </w:r>
    </w:p>
    <w:p>
      <w:pPr>
        <w:pStyle w:val="Heading2"/>
      </w:pPr>
      <w:r>
        <w:t>Regeste</w:t>
      </w:r>
    </w:p>
    <w:p>
      <w:r>
        <w:t>COMMERCE DE STUPÉFIANTS, FIXATION DE LA PEINE, EXPERTISE PSYCHIATRIQUE, ATTESTATION, FAITS NOUVEAUX | 20 CP, 47 CP</w:t>
      </w:r>
    </w:p>
    <w:p>
      <w:pPr>
        <w:pStyle w:val="Heading2"/>
      </w:pPr>
      <w:r>
        <w:t>Erwägungen</w:t>
      </w:r>
    </w:p>
    <w:p>
      <w:r>
        <w:rPr>
          <w:b/>
        </w:rPr>
        <w:t>E. 1</w:t>
      </w:r>
    </w:p>
    <w:p>
      <w:r>
        <w:t>Le recours est en réforme exclusivement. En pareil cas, la cour de céans est liée par les faits constatés dans le jugement attaqué, sous réserve des inadvertances manifestes, inexistantes en l'espèce, qu'elle rectifie d'office (art. 447 al. 2 CPP). En revanche, elle examine librement les questions de droit sans être limitée aux moyens invoqués (art. 447 al. 1 er CPP). Elle ne peut cependant aller au-delà des conclusions du recourant (art. 447 al. 2 CPP).</w:t>
      </w:r>
    </w:p>
    <w:p>
      <w:r>
        <w:rPr>
          <w:b/>
        </w:rPr>
        <w:t>E. 2</w:t>
      </w:r>
    </w:p>
    <w:p>
      <w:r>
        <w:t>Le recourant fait valoir que la peine infligée est trop sévère. A l'appui de ce grief, il invoque les critères devant présider à la fixation de la peine en vertu de l'art. 47 CP ainsi que le principe de l'égalité de traitement en vertu de comparaisons avec des cas analogues et celui de son coaccusé. a) A teneur de l'art. 47 CP, le juge fixe la peine d'après la culpabilité de l'auteur. Il prend en considération les antécédents et la situation personnelle de ce dernier ainsi que l'effet de la peine sur son avenir (al. 1 er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(ATF 122 IV 299, consid. 2c, p. 301;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(TF 6B_297/2008 du 19 juin 2008, consid. 5.1.2).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ATF 118 IV 342, consid. 2d, p. 349; TF 6S.21/2002 du 17 avril 2002, consid. 2c). Enfin,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 Monnier, Moreillon et Piguet, Procédure pénale vaudoise, Code annoté, 3 e éd., Bâle 2008 , n. 1.4 ad art. 415 CPP; ATF 127 IV 101, consid. 2c; ATF 122 IV 156, consid. 3b; ATF 116 IV 288, consid. 2b). b) En l'espèce, le tribunal correctionnel a condamné le recourant à cinq ans de peine privative de liberté. Il a retenu qu'A.________ avait participé et l'importation et la remise en Suisse d'une importante quantité de stupéfiants, soit 411,8 grammes de cocaïne pure, et qu'il avait par ailleurs revendu une quantité non négligeable de cocaïne au détail, soit 79 grammes. A charge, les premiers juges ont également relevé que son trafic, même s'il lui a aussi permis d'assurer sa propre consommation, était lié à l'appât du gain. De plus, le recourant avait les moyens intellectuels de réaliser la gravité de ses actes. A décharge, les juges ont tenu compte du fait qu'il s'était montré collaborant et avait permis la saisie d'un kilo de cocaïne et d'un montant important dont il n'est pas établi qu'ils relevaient de son propre trafic. Enfin, ils ont encore tenu compte d'un antécédent dont la peine a été révoquée: la peine de vingt et un jour y relative a été incluse dans la nouvelle peine prononcée. Ni la bande ni le métier n'ont été retenus. c) aa) Le recourant soutient qu'il a bien collaboré avec les autorités chargées de l'enquête et que c'est notamment grâce à ses indications qu'un kilo de cocaïne a pu être saisi. Certes, c'est notamment grâce aux indications d'A.________ que cette quantité de cocaïne a pu être saisie. Il ressort toutefois du jugement attaqué que la collaboration n'a pas été complète, le recourant se contentant de donner des indications vagues sur la localisation de l'appartement et sur la provenance de cette saisie. Au demeurant, ce n'est qu'au bénéfice du doute que les premiers juges n'ont pas retenu qu'A.________ était le détenteur de cette cocaïne. Quoi qu'il en soit, le tribunal a précisément retenu la relative collaboration de A.________ avec les enquêteurs lors de la fixation de la peine (jugement, p. 24). En revanche, au vu de la lourde peine prononcée, on peut s'empêcher de penser que, en dépit du fait que rien n'a été retenu contre A.________ en ce qui concerne le kilo de cocaïne saisi le 29 janvier 2008, les premiers juges ont inconsciemment pris en considération cet épisode à charge. bb) A.________ compare ensuite la peine qui lui a été infligée à d'autres peines prononcées en matière d'infractions à la LStup. A cet effet, il cite une dizaine d'exemples plus ou moins similaires tirés de la jurisprudence récente. Il soutient par ailleurs que la peine est trop sévère par rapport à celle qui a été infligée au coaccusé R.________. En règle générale, toute comparaison des peines est stérile vu les nombreux paramètres intervenant dans la fixation de la peine (ATF 120 IV 136, consid. 3a). Il n'en demeure pas moins qu'un écart important entre les peines infligées à deux coaccusés prévenus pour l'essentiel des mêmes infractions doit être fondé sur des motifs pertinents (ATF 121 IV 202, consid. 2d; ATF 120 IV 136, consid. 3b). Toutefois, la peine n'est pas fixée uniquement en fonction des infractions commises, mais également selon le caractère et la personnalité du prévenu (TF 6B_725/2008 du 27 novembre 2008, consid. 2.4). Il est vrai que le tribunal a prononcé une peine sensiblement plus lourde à l'égard d'A.________ que de R.________. Toutefois, il a explicitement mis en avant les éléments subjectifs concernant chacun des coaccusés, notamment leur degré d'éducation, leur âge, la précarité de leur situation et leurs antécédents. Sur tous ces points, les contextes entourant l'un et l'autre personnage divergent fortement. S'agissant des multiples exemples tirés de la jurisprudence que le recourant cite, il faut admettre qu'ils mettent en exergue le caractère particulièrement sévère de la peine en l'espèce. Ainsi, même avec toute la retenue qui s'impose dans une opération de comparaisons, il apparaît effectivement que la peine infligée à A.________ confine en l'espèce à l'arbitraire. d) Il se justifie par conséquent de réduire la peine privative de liberté à trois ans et demi au lieu de cinq ans. Recours de R.________</w:t>
      </w:r>
    </w:p>
    <w:p>
      <w:r>
        <w:rPr>
          <w:b/>
        </w:rPr>
        <w:t>E. 3</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op. cit., n. 1.4 ad art. 411 CPP). En l'occurrence, il convient d'examiner en premier lieu les moyens de nullité, ces derniers pouvant faire apparaître des doutes sur l'existence des faits admis et importants pour le jugement de la cause (art. 411 let. i CPP).</w:t>
      </w:r>
    </w:p>
    <w:p>
      <w:r>
        <w:rPr>
          <w:b/>
        </w:rPr>
        <w:t>E. 4</w:t>
      </w:r>
    </w:p>
    <w:p>
      <w:r>
        <w:t>Le recourant fait valoir qu'il existe un doute manifeste sur sa responsabilité. A l'appui de ce grief, il produit une pièce nouvelle, à savoir un rapport du 13 février 2009 établi par le Dr. [...] et le Prof. [...], respectivement médecin associé et médecin chef au Service de médecine et psychiatrie pénitentiaires. En substance, ce rapport retient que R.________ souffre d'un trouble psychotique associé à un épisode dépressif sévère, ainsi qu'un abus d'alcool et de cannabis (abstinent dans un environnement protégé). Les médecins précisent que les troubles du recourant semblent légitimer une expertise psychiatrique. a)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(Cass., 11 avril 2002, n° 162; Cass., 17 mars 1999, n° 162; JT 1991 III 121; JT 1983 III 91; Bersier, op. cit., p. 93, ch. 42; Besse-Matile et Abravanel, op. cit., pp. 104 ss). Une telle pratique est conforme au système de la procédure vaudoise, qui ne connaît pas l'appel; l'admission en deuxième instance de pièces portant sur des faits antérieurs au jugement reviendrait à mettre à néant le principe selon lequel le tribunal de première instance établit les faits (Bovay, Dupuis, Monnier, Moreillon et Piguet, op. cit., n. 11.5 ad art. 411 CPP et n. 2 ad art. 425 CPP). La jurisprudence a néanmoins varié en ce qui concerne la production d'une pièce qui suscite un doute sur un fait établi, plus particulièrement la responsabilité qui doit impérativement être examinée par le juge (cf. JT 1983 III 91, spéc. p. 92 et les arrêts cités). b) En l'espèce, le rapport des psychiatres est postérieur à l'échéance du délai de recours et les éléments qu'il relate sont antérieurs au jugement. A suivre un interprétation stricte de la jurisprudence, la cour devrait constater que cette pièce ne peut être produite à ce stade de la procédure. Toutefois, le recourant n'a jusqu'ici jamais évoqué de problèmes psychiques. Les premiers juges n'en ont rien su, puisqu'ils n'ont mentionné à son égard que sa scolarisation minimum et l'absence de toute formation professionnelle. Le jugement attaqué ne soulève donc pas le problème et le dossier ne révèle rien à ce sujet. Il n'y avait ainsi pas raison apparente de douter de la responsabilité de R.________, ce d'autant plus qu'il n'est pas consommateur. Des doutes sont désormais bien réels au vu du rapport des psychiatres déposé dans le cas d'espèce, qui préconisent une expertise en bonne et due forme. S'agissant de la mise en œuvre d'une expertise psychiatrique, l'art. 20 CP , prescrit au juge d'en ordonner une s'il existe une raison sérieuse de douter de la responsabilité de l'auteur. L'application de cette disposition conduit nécessairement à la prise en considération du rapport des médecins en dépit de la jurisprudence relative à la production de pièces nouvelles. Au vu de ce document, une expertise psychiatrique doit être ordonnée à l'égard de R.________. On relèvera d'ailleurs que l'économie de procédure conduit aussi à admettre le recours plutôt que de laisser au recourant le soin de faire une demande de révision. Pour garantir la double instance, il convient de renvoyer la cause au tribunal correctionnel afin qu'il ordonne une expertise psychiatrique.</w:t>
      </w:r>
    </w:p>
    <w:p>
      <w:r>
        <w:rPr>
          <w:b/>
        </w:rPr>
        <w:t>E. 5</w:t>
      </w:r>
    </w:p>
    <w:p>
      <w:r>
        <w:t>En définitive, le recours d'A.________ doit être partiellement admis et le jugement réformé dans le sens des considérants. Le recours de R.________ doit être admis, le jugement annulé pour ce qui le concerne et la cause renvoyée au Tribunal d'arrondissement de La Broye et du Nord vaudois pour nouvelle instruction et nouveau jugement.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