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35 vom 16. Oktober 2007</w:t>
      </w:r>
    </w:p>
    <w:p>
      <w:r>
        <w:t>VD Tribunal cantonal, 2007-10-16, FR</w:t>
      </w:r>
    </w:p>
    <w:p>
      <w:r>
        <w:rPr>
          <w:b/>
        </w:rPr>
        <w:t xml:space="preserve">Quelle: </w:t>
      </w:r>
      <w:r>
        <w:t>https://mcp.opencaselaw.ch/entscheid/vd_findinfo_AP___2009___35</w:t>
      </w:r>
    </w:p>
    <w:p>
      <w:r>
        <w:t>FR: VD_FINDINFO AP / 2009 / 35 du 16 octobre 2007</w:t>
      </w:r>
    </w:p>
    <w:p>
      <w:r>
        <w:t>IT: VD_FINDINFO AP / 2009 / 35 del 16 ottobre 2007</w:t>
      </w:r>
    </w:p>
    <w:p>
      <w:pPr>
        <w:pStyle w:val="Heading2"/>
      </w:pPr>
      <w:r>
        <w:t>Regeste</w:t>
      </w:r>
    </w:p>
    <w:p>
      <w:r>
        <w:t>TÉMOIN, SOCIÉTÉ SIMPLE, CONSORITÉ, INTERPRÉTATION{SENS GÉNÉRAL}, ENRICHISSEMENT ILLÉGITIME, PRESCRIPTION | 18 CO, 530 CO, 67 al. 1 CO, 296 CPC, 297 CPC</w:t>
      </w:r>
    </w:p>
    <w:p>
      <w:pPr>
        <w:pStyle w:val="Heading2"/>
      </w:pPr>
      <w:r>
        <w:t>Erwägungen</w:t>
      </w:r>
    </w:p>
    <w:p>
      <w:r>
        <w:rPr>
          <w:b/>
        </w:rPr>
        <w:t>E. 1</w:t>
      </w:r>
    </w:p>
    <w:p>
      <w:r>
        <w:t>En première instance, la valeur litigieuse devait se déterminer sur la base de la conclusion en paiement de 37'500 fr. et sur celle en restitution de divers objets mobiliers, selon conclusions I et III de la demande du 24 mai 2006. La valeur de ces objets est difficile à fixer, mais ne peut dépasser quelques milliers de francs (les principaux objets ont été évalués à 12'000 fr. environ par le témoin Gilles T [...], fils de l'intimée, dont la déposition n'a pas été retenue par les premiers juges; jugement pp. 26 et 40). Le tribunal civil d'arrondissement était compétent pour la présente cause patrimoniale dont la valeur litigieuse était supérieure à 30'000 fr. et inférieure ou égale à 100'000 fr. et qui n'était pas attribuée par la loi à une autre autorité (art. 96b al. 2 et 3 LOJV [loi vaudoise d'organisation judiciaire, RSV 173.01]). Il a statué dans les formes de la procédure accélérée (art. 336 ss CPC) applicable devant lui (art. 336 let. b CPC). Le recours en nullité (art. 444 et 445 CPC) et le recours en réforme (art. 451 ch. 2 CPC) sont ouverts contre un jugement principal rendu par un tribunal d'arrondissement. Déposé en temps utile, le recours est recevable en la forme.</w:t>
      </w:r>
    </w:p>
    <w:p>
      <w:r>
        <w:rPr>
          <w:b/>
        </w:rPr>
        <w:t>E. 2</w:t>
      </w:r>
    </w:p>
    <w:p>
      <w:r>
        <w:t>a) Les conclusions libératoires prises par I.________ dans son recours en réforme reprennent celles de la première instance; elles sont recevables (art. 452 al. 1er CPC). Les conclusions en réforme prises par A.X.________ par voie de recours joint (art. 466 al. 1 CPC) ne sont ni nouvelles ni plus amples que celles de la première instance; elles sont également recevables.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qui doit avoir un caractère exceptionnel (JT 2006 III 29, c. 1b pp. 30/31; JT 2003 III pp. 3, 16 et 109). Dans ces limites, la Chambre des recours revoit librement la cause en fait et en droit (art. 452 al. 2 CPC).</w:t>
      </w:r>
    </w:p>
    <w:p>
      <w:r>
        <w:rPr>
          <w:b/>
        </w:rPr>
        <w:t>E. 3</w:t>
      </w:r>
    </w:p>
    <w:p>
      <w:r>
        <w:t>a) Lorsque le recours en réforme est ouvert, il l'est pour toute question de droit, de fond et de procédure (art. 452 al. 2 CPC). La violation des règles de la procédure ne ressort donc pas du recours en nullité, voie subsidiaire. La seule réserve a trait au grief touchant à la violation du droit d'être entendu, de par le caractère formel de cette garantie, sous réserve de la correction d'une éventuelle violation de ce droit déjà dans le cadre du recours en réforme. b) Le recourant fait tout d'abord valoir que les règles régissant les solutions testimoniales (art. 296 et 297 CPC) ont été violées, le procès-verbal ne contenant en particulier pas le résultat de ce mode de preuve (mémoire p. 20). La procédure accélérée introduite par la novelle du 17 mai 1999 ne connaît pas les solutions testimoniales (art. 340 al. 1 CPC qui ne renvoie pas aux règles de la procédure ordinaire figurant au Titre VIII : Poudret/Haldy/Tappy, op. cit., n. 2 ad art. 340 al. 1 CPC, p. 515 ; voir aussi note Poudret in JT 1999 III 134). L'introduction des tribunaux d'arrondissement, avec l'application de la procédure accélérée s'agissant tant des causes patrimoniales que des procès en divorce, séparation de corps ou en annulation de mariage, a pour conséquence le fait que les solutions testimoniales ne sont plus appliquées, hormis à quelques procès du droit de la filiation ( Poudret/Haldy/Tappy, op. cit., note préliminaire ad art. 296 CPC, p. 449 et n. 2 ad art. 340 CPC, p. 515). Les griefs du recourant tirés d'une violation des dispositions en matière de solutions testimoniales sont ainsi infondés. c) A l'appui de ses moyens de réforme et de nullité (mémoire pp. 12 et 21), le recourant reproche aussi aux premiers juges d'avoir outrepassé les limites de la procédure inquisitoriale limitée en s'écartant "d'une manière extrême des allégués". Le moyen peut être examiné en tant que de besoin dans le cadre du recours en réforme. d) De même, le grief tiré d'une appréciation arbitraire des preuves, soulevé à plusieurs reprises (mémoire p. 8 ch. 11, p. 22 ch. 6 et p. 23 ch. 9), peut être examiné en tant que de besoin dans le cadre du recours en réforme compte tenu du pouvoir d'examen de la cour de céans, qui a été rappelé ci-dessus. Il est donc irrecevable en nullité.</w:t>
      </w:r>
    </w:p>
    <w:p>
      <w:r>
        <w:rPr>
          <w:b/>
        </w:rPr>
        <w:t>E. 4</w:t>
      </w:r>
    </w:p>
    <w:p>
      <w:r>
        <w:t>a) La question se pose de savoir si  les époux X.________ ont formé un contrat de société simple au sens des art. 530 ss CO. La société simple est un contrat par lequel deux ou plusieurs personnes conviennent d'unir leurs efforts ou leurs ressources en vue d'atteindre un but commun (art. 530 CO; Tercier/Favre, Les contrats spéciaux, 4 ème éd., 2009, pp. 1116 ss). b) En l'espèce, la convention du 1 er octobre 2003 est signée par le recourant, en qualité de vendeur, d'une part, et par la recourante par voie de jonction et son époux  M.X.________, en qualité d'acheteurs, d'autre part. De même, c'est dans une lettre signée par les deux époux que ceux-ci ont confirmé leur désir d'acquérir "le magasin attenant au nôtre" à G [...] Sàrl (pièce 101). Les époux  les époux X.________, en qualité de cessionnaires, le recourant principal, en qualité de cédant, et le bailleur ont signé le 2 décembre 2003 l'"avenant de transfert de bail à loyer pour locaux commerciaux du 23 mai 2003" (pièce 103). De plus, la quittance du 27 janvier 2004 indique que le montant de 10'000 fr. a été reçu de les époux X.________ (pièce 3). Les lettres des 16 juillet 2004 et 6 septembre 2004 par lesquelles le recourant principal a sommé de payer les mensualités arriérées sous peine d'annulation de la convention ont été adressées aux époux  les époux X.________ (pièces 8 et 9). Dans la lettre du 29 juin 2005, le conseil des époux a indiqué que ceux-ci souhaitaient récupérer des objets personnels restés dans le café "Le T [...]" (pièce 10). L'inventaire du 29 juin 2005 indique également que les meubles et les objets dans cet établissement sont ceux des époux  les époux X.________ (pièce 12). Les premiers juges ont exposé que l'intimée vit désormais séparée de son époux (jugement p. 33).  Peu importe. Au vu des éléments qui précèdent, les époux X.________, qui ont acheté ensemble l'établissement public en cause pour l'exploiter en commun, forment une société simple. c) Les associés sont propriétaires en main commune des créanciers de la société simple envers les tiers (art. 544 al. 1 CO). Ils forment donc une consorité nécessaire sur le plan actif en vertu du droit fédéral. Autrement dit, ils n'ont la légitimation active pour faire valoir des créances concernant la société que pour autant qu'ils agissent conjointement (SJ 1997, 396 précité c. 3c p. 401; cf. aussi TF 4C.70/2000 du 10 avril 2000 c. 2; ATF 116 II 49 c. 4a, JT 1992 I 66; Tercier/Favre, op. cit., n. 7446 p. 1117 et les références). La recourante par voie de jonction n'a pas indiqué qu'elle agissait pour le compte de la société simple (cf. Chaix, CR, n. 7 ad art. 543 CO) et n'a pas produit de pouvoirs de représentation l'autorisant à agir en son nom pour la société simple (cf. Chaix, CR, n. 9 ad art. 543 CO). La convention de vente - et les autres pièces du dossier - ne prévoient pas de solidarité active (art. 150 al. 1 CO) entre les époux X.________. Il en découle que la recourante par voie de jonction ne pouvait pas ouvrir action seule contre le recourant principal. Les conclusions actives prises par la recourante par voie de jonction doivent dès lors être rejetées. Cela scelle le sort de la procédure, donc du recours principal et du recours joint.</w:t>
      </w:r>
    </w:p>
    <w:p>
      <w:r>
        <w:rPr>
          <w:b/>
        </w:rPr>
        <w:t>E. 5</w:t>
      </w:r>
    </w:p>
    <w:p>
      <w:r>
        <w:t>Par surabondance, il y a lieu de faire les considérations qui suivent. Les premiers juges ont établi la réelle et commune intention des parties pour ce qui concerne la convention et, dans ce cadre, ont retenu que la troisième condition de son art.</w:t>
      </w:r>
    </w:p>
    <w:p>
      <w:r>
        <w:rPr>
          <w:b/>
        </w:rPr>
        <w:t>E. 8</w:t>
      </w:r>
    </w:p>
    <w:p>
      <w:r>
        <w:t>En définitive, le recours principal doit être admis et le recours joint rejeté. Le dispositif du jugement doit être réformé en ce sens que la demande déposée le 24 mai 2006 par A.X.________ contre I.________ est rejetée (chiffre I), que l'opposition formée par I.________ dans la poursuite n° 2178146 de l'Office des poursuites de Lausanne-Ouest est maintenue (chiffre II) et que la demanderesse doit verser au défendeur la somme de 6'640 fr. à titre de dépens (chiffre IV). Le jugement est confirmé pour le surplus. Les frais de deuxième instance sont arrêtés à 576 fr. pour le recourant principal et à 398 fr. pour la recourante par voie de jonction. La recourante par voie de jonction doit verser au recourant principal la somme de 3'076 fr. (576 fr. pour les frais de deuxième instance et 2'500 fr. à titre de participation aux honoraires de son conseil) à titre de dépens de deuxième instance. Par ces motifs, la Chambre des recours du Tribunal cantonal, statuant en audience publique, prononce : I. Le recours principal est admis. II. Le recours joint est rejeté. III. Le jugement est réformé aux chiffres I, II et IV de son dispositif comme il suit : I.          La demande du 24 mai 2006 déposée par A.X.________ contre I.________ est rejetée. II.         L'opposition formée par  I.________ dans la poursuite n° 2178146 de l'Office des poursuites de Lausanne-Ouest est maintenue. IV.        La demanderesse doit verser au défendeur la somme de 6'640 francs (six mille six cent quarante francs) à titre de dépens. Il est confirmé pour le surplus. IV. Les frais de deuxième instance sont arrêtés à 576 fr. (cinq cent septante-six francs) pour le recourant principal et à 398 fr. (trois cent nonante-huit francs) pour la recourante par voie de jonction. V. La recourante par voie de jonction A.X.________ doit verser au recourant principal I.________ la somme de 3'076 fr. (trois mille septante-six francs) à titre de dépens de deuxième instance. VI. L'arrêt motivé est exécutoire. L e président : L e greffi er : Du 1er avril 2009 Le dispositif de l'arrêt qui précède est communiqué par écrit aux intéressés. L e greffi er : Du L'arrêt qui précède, dont la rédaction a été approuvée à huis clos, est notifié en expédition complète, par l'envoi de photocopies à : ‑      Me Philippe Rossy (pour I.________), ‑      Me Patrick Sutter (pour A.X.________).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