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210 vom 16. November 2009</w:t>
      </w:r>
    </w:p>
    <w:p>
      <w:r>
        <w:t>VD Tribunal cantonal, 2009-11-16, FR</w:t>
      </w:r>
    </w:p>
    <w:p>
      <w:r>
        <w:rPr>
          <w:b/>
        </w:rPr>
        <w:t xml:space="preserve">Quelle: </w:t>
      </w:r>
      <w:r>
        <w:t>https://mcp.opencaselaw.ch/entscheid/vd_findinfo_AP___2009___210</w:t>
      </w:r>
    </w:p>
    <w:p>
      <w:r>
        <w:t>FR: VD_FINDINFO AP / 2009 / 210 du 16 novembre 2009</w:t>
      </w:r>
    </w:p>
    <w:p>
      <w:r>
        <w:t>IT: VD_FINDINFO AP / 2009 / 210 del 16 novembre 2009</w:t>
      </w:r>
    </w:p>
    <w:p>
      <w:pPr>
        <w:pStyle w:val="Heading2"/>
      </w:pPr>
      <w:r>
        <w:t>Regeste</w:t>
      </w:r>
    </w:p>
    <w:p>
      <w:r>
        <w:t>EXPERTISE-ARBITRAGE | 36 C-Arb</w:t>
      </w:r>
    </w:p>
    <w:p>
      <w:pPr>
        <w:pStyle w:val="Heading2"/>
      </w:pPr>
      <w:r>
        <w:t>Erwägungen</w:t>
      </w:r>
    </w:p>
    <w:p>
      <w:r>
        <w:rPr>
          <w:b/>
        </w:rPr>
        <w:t>E. 1</w:t>
      </w:r>
    </w:p>
    <w:p>
      <w:r>
        <w:t>a) Il s'agi t tout d'abord de déterminer si l'on est en présence d'une "expertise-arbitrage", auquel cas la décision rendue par l'achitecte Roland Mosimann ne revêt pas la qualité de sentence arbitrale et n'acquiert ni force de chose jugée, ni caractère exécutoire (Thorens, L'expertise-arbitrage en droit suisse et en droit allemand, in Semaine judiciaire, 1968, pp. 601 ss, spéc. p. 603) de sorte que le recours judiciaire au Tribunal cantonal est irrecevable, ou d'un arbitrage au sens notamment du C-Arb (Concordat intercantonal sur l'arbitrage du 27 août 1969, RSV 268.91) auquel cas le recours à la Chambre des recours est ouvert. Selon Jolidon (Commentaire du concordat suisse sur l'arbitrage, p. 35), l'expertise-arbitrage ou expertise arbitrale est une institution par laquelle les parties chargent, au moyen d'un contrat (qui relève du droit de fond), un tiers, qui est leur mandataire, de donner son avis sur une question de fait ou sur un élément d'un rapport de droit, auquel elles déclarent d'avance se soumettre obligatoirement. Alors que l'arbitre exerce une fonction juridictionnelle, l'expert-arbitre accomplit une "mission (qui) n'est jamais, à quelque degré que ce soit, d'ordre juridictionnel" (cf. Jolidon, Réflexions sur l'expertise-arbitrage en droit suisse, in Mélanges Pierre Engel, 1989, p. 157 ss, p. 174). Le C-Arb n'est pas "directement applicable" à l'expertise-arbitrage (Poudret/Wurzburger, Code de procédure civile vaudois,</w:t>
      </w:r>
    </w:p>
    <w:p>
      <w:r>
        <w:rPr>
          <w:b/>
        </w:rPr>
        <w:t>E. 2</w:t>
      </w:r>
    </w:p>
    <w:p>
      <w:r>
        <w:t>En conclusion, le recours est irrecevable. Les frais de deuxième instance de la recourante sont arrêtés à 6'000 francs. Vu le sort du recours et la position de l'intimée, soutenant à tort l'existence d'un compromis arbitral, il n'y a pas lieu d'allouer de dépens. Par ces motifs, la Chambre des recours du Tribunal cantonal, statuant en audience publique, prononce : I. Le recours est irrecevable. II. Les frais de deuxième instance de la recourante Z.________ sont arrêtés à 6'000 fr. (six mille francs). III. Il n'est pas alloué de dépens de deuxième instance. IV. L'arrêt motivé est exécutoire. Le président : La greffière : Du 16 novembre 2009 Le dispositif de l'arrêt qui précède est communiqué par écrit aux intéressés. La greffière : Du L'arrêt qui précède, dont la rédaction a été approuvée à huis clos, est notifié en expédition complète, par l'envoi de photocopies à : ‑      M e Jean-Pierre Otz (pour Z.________), ‑      M e Laurent Moreillon (pour S.________). La Chambre des recours considère que la valeur litigieuse est de 1'177'950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Roland Mosimann.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