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208 vom 2. Dezember 2009</w:t>
      </w:r>
    </w:p>
    <w:p>
      <w:r>
        <w:t>VD Tribunal cantonal, 2009-12-02, FR</w:t>
      </w:r>
    </w:p>
    <w:p>
      <w:r>
        <w:rPr>
          <w:b/>
        </w:rPr>
        <w:t xml:space="preserve">Quelle: </w:t>
      </w:r>
      <w:r>
        <w:t>https://mcp.opencaselaw.ch/entscheid/vd_findinfo_AP___2009___208</w:t>
      </w:r>
    </w:p>
    <w:p>
      <w:r>
        <w:t>FR: VD_FINDINFO AP / 2009 / 208 du 2 décembre 2009</w:t>
      </w:r>
    </w:p>
    <w:p>
      <w:r>
        <w:t>IT: VD_FINDINFO AP / 2009 / 208 del 2 dicembre 2009</w:t>
      </w:r>
    </w:p>
    <w:p>
      <w:pPr>
        <w:pStyle w:val="Heading2"/>
      </w:pPr>
      <w:r>
        <w:t>Regeste</w:t>
      </w:r>
    </w:p>
    <w:p>
      <w:r>
        <w:t>GARANTIE EN RAISON DES DÉFAUTS DE LA CHOSE, AVIS DES DÉFAUTS | 363 CO, 367 CO, 368 CO, 370 CO</w:t>
      </w:r>
    </w:p>
    <w:p>
      <w:pPr>
        <w:pStyle w:val="Heading2"/>
      </w:pPr>
      <w:r>
        <w:t>Erwägungen</w:t>
      </w:r>
    </w:p>
    <w:p>
      <w:r>
        <w:rPr>
          <w:b/>
        </w:rPr>
        <w:t>E. 1</w:t>
      </w:r>
    </w:p>
    <w:p>
      <w:r>
        <w:t>Les articles 444, 445 et 451 ch. 2 CPC (Code de procédure civile du 14 décembre 1966; RSV 270.11) ouvrent la voie des recours en nullité et en réforme contre les jugements principaux rendus par un tribunal d'arrondissement. Le recours tend principalement à la réforme, subsidiairement à la nullité du jugement entrepris. Dans son mémoire ampliatif, la recourante a constaté que sa conclusion en nullité était sans objet, et l'a en conséquence retirée. Il n'y a ainsi lieu de statuer qu'en réforme.</w:t>
      </w:r>
    </w:p>
    <w:p>
      <w:r>
        <w:rPr>
          <w:b/>
        </w:rPr>
        <w:t>E. 2</w:t>
      </w:r>
    </w:p>
    <w:p>
      <w:r>
        <w:t>Saisie d'un recours en réforme, la Chambre des recours revoit librement la cause en fait et en droit (art. 452 al. 2 CPC). S'agissant des faits, les constatations des premiers juges consignées dans le jugement entrepris sont complètes et correspondent aux éléments du dossier. Elles peuvent dès lors être reprises dans le présent arrêt. Au demeurant, les constatations de fait du jugement entrepris ne sont pas critiquées par la recourante, de sorte qu'il n'y a pas lieu d'envisager un complément d'instruction au sens de l'article 456a CPC.</w:t>
      </w:r>
    </w:p>
    <w:p>
      <w:r>
        <w:rPr>
          <w:b/>
        </w:rPr>
        <w:t>E. 3</w:t>
      </w:r>
    </w:p>
    <w:p>
      <w:r>
        <w:t>Sur certains éléments toutefois (ci-après ch. 5), la Chambre des recours peut compléter par quelques références aux pièces complémentaires l'état des faits décisifs.</w:t>
      </w:r>
    </w:p>
    <w:p>
      <w:r>
        <w:rPr>
          <w:b/>
        </w:rPr>
        <w:t>E. 4</w:t>
      </w:r>
    </w:p>
    <w:p>
      <w:r>
        <w:t>La recourante remet en cause le dispositif entrepris en faisant valoir en droit que certains copropriétaires intimés n'ont pas souscrit par leur signature au contrat-type (5), respectivement que la réserve contractuelle de la forme écrite n'a pas été partout respectée (6). La recourante fait également valoir l'absence d'avis des défauts régulier donné en temps utile (7) et l'absence de solidarité active entre les intimés (8). Outre ces arguments de droit, la recourante ne conteste pas l'existence des défauts eux-mêmes, ni les constatations d'expertise s'y rapportant, pas plus que le montant finalement retenu par les premiers juges pour l'ensemble de la moins-value. Sur ces points, la Chambre des recours se ralliera à l'argumentation des premiers juges par adoption de motifs (art. 471 al. 3 CPC), spécialement pour les développements sur l'estimation pertinente figurant en page 84 du jugement.</w:t>
      </w:r>
    </w:p>
    <w:p>
      <w:r>
        <w:rPr>
          <w:b/>
        </w:rPr>
        <w:t>E. 5</w:t>
      </w:r>
    </w:p>
    <w:p>
      <w:r>
        <w:t>Six contrats des intimés ne se retrouvent pas au dossier, dûment signés par eux du moins. La recourante soutient qu'elle n'a pas eu de relation contractuelle avec ceux-ci, et qu'une prétention en réparation des défauts est pour ce motif exclue. Les premiers juges relèvent que cette argumentation n'a été soulevée qu'en plaidoirie, après clôture de l'instruction (jugement p. 79-80). La conclusion d'un contrat avec les intimés en cause a été jusqu'alors un fait implicite à l'exercice des prétentions ensuite de défauts contractuels. Comme tel, elle n'avait pas à être prouvée en l'absence de contestation expresse sur ce point pendant l'instruction (F. Hohl, Procédure civile, I, BE 2001, n. 942 p. 182; TF in RFJ 1992, p. 71). Par surabondance, la recourante n'a nullement établi que lors de la conclusion du contrat de chaque copropriétaire (pièce 2), entre novembre 1999 et janvier 2000, lesdits intimés n'étaient pas déjà copropriétaires pour leurs parts. En effet, la constitution de la PPE a été inscrite au Registre foncier en date du 16 décembre 1999, selon pièce 1 du dossier. Or, la décision de construire le garage comme partie commune relève selon toute apparence de l'art. 647d CC (Code civil suisse du 10 décembre 1907; RS 210), par renvoi de l'art. 712g CC en l'absence de règlement divergent. La double majorité des parts et des têtes contraignait ainsi les minoritaires à se lier à la conclusion du contrat d'entreprise. Enfin, si véritablement il n'y avait pas de contrat entre les titulaires de lots non signataires et la recourante, celle-ci devrait leur restituer leur part de paiements (selon les échéanciers, annexe 5 des contrats, p. 2), et ne pourrait prétendre en conserver une part, car elle n'a pas établi de son côté leur enrichissement pour leur quote-part sur la valeur actuelle de tous les travaux qu'elle a effectués pour eux. Cela dépasserait très largement le montant individuellement réclamé par chacun des copropriétaires en cause.</w:t>
      </w:r>
    </w:p>
    <w:p>
      <w:r>
        <w:rPr>
          <w:b/>
        </w:rPr>
        <w:t>E. 6</w:t>
      </w:r>
    </w:p>
    <w:p>
      <w:r>
        <w:t>Les arguments qui précèdent doivent valoir sur le principe également pour le prétendu vice de la forme écrite réservée invoqué par la recourante. Il s'y ajoute que la preuve d'une forme conventionnelle est à la charge de la partie qui l'invoque. A cet égard, la recourante n'a pas allégué les circonstances de conclusion ou de négociation des contrats portant sur les six quote-parts en cause, et l'on ignore notamment si, à leur égard, des envois en doubles de contrats soumis à signature ont bien été opérés, comme le plaide la recourante (cf. TF in SJ 1981, p. 177 et ss.) Le fait qu'il ait été procédé ainsi à l'égard d'autres copropriétaires ne prouve pas que cela ait été le cas pour les six intimés en cause. Il serait d'ailleurs surprenant que la recourante ait accepté de construire sans droit sur le fonds d'autrui pour les six lots en cause, alors que la manière dont elle a procédé pour les copropriétaires au bénéfice d'un contrat écrit démontre qu'elle était au fait de la situation juridique des ouvrages à construire. Ces questions eussent pu être instruites si elles avaient fait l'objet d'allégations antérieures à la clôture de l'instruction, ce qui n'a pas été le cas. A supposer que la recourante ait raison sur ce point, les conclusions en paiement seraient bien fondées en fonction d'un enrichissement illégitime de la recourante, qui a encaissé un prix au-delà de la seule plus-value immobilière due aux travaux faits sans droit, sans qu'elle puisse elle-même établir d'ailleurs cette plus-value immobilière.</w:t>
      </w:r>
    </w:p>
    <w:p>
      <w:r>
        <w:rPr>
          <w:b/>
        </w:rPr>
        <w:t>E. 7</w:t>
      </w:r>
    </w:p>
    <w:p>
      <w:r>
        <w:t>S'agissant de la tardiveté de l'avis des défauts, invoquée par la recourante, il convient d'observer préliminairement que ce moyen a été allégué par la recourante et qu'il appartenait ainsi aux intimés d'établir la date de l'avis pour permettre l'exercice de leurs droits à raison des défauts (ATF 107 II 172, JT 1981 I 598; ATF 118 II 142, JT 1993 I 300). Lorsque les parties ont convenu d'une réglementation conventionnelle de la garantie contractuelle en dérogation aux règles du Code des obligations, il appartient à la partie qui invoque une péremption de la garantie contractuelle de l'établir en fait. Dans le cas d'espèce, l'article 12.3 des contrats d'entreprise générale prévoit que, si des défauts sont constatés pendant le délai de garantie de deux ans, " le maître en avise l'entrepreneur général". Cette clause ne contient pas un devoir d'avis sans délai comme la réglementation de l'art. 367 al. 1 CO (Code des obligations du 30 mars 1911; RS 220). En tout état de cause, il appartenait à la recourante d'établir la péremption contractuelle qu'elle invoque, contrairement au texte du contrat, comme réellement voulue par les parties. L'interprétation de la recourante se heurte au fait que le délai contractuel de garantie de deux ans est fixé sur le même mécanisme de durée que la norme SIA 118, où le délai de deux ans n'est qu'un délai pour aviser des défauts, mais non un délai de prescription ou de péremption (ATF 116 II 312, JT 1991 I 180; P: Gauch, Le contrat d'entreprise, ZH 1999, n. 1694 p. 730) Les ouvrages ont été achevés au cours de l'automne 2001. Il ressort du jugement que non seulement des avis oraux ont été adressés à la recourante, mais qu'un avis écrit lui a été signifié le 16 mai 2003 (jugement p. 63-64). La recourante conteste toute portée juridique à ce dernier avis au motif qu'il n'est pas signé. Cet argument omet que ni la loi ni le contrat ne soumet l'avis des défauts au respect de la forme écrite. Il n'est au surplus pas douteux, au regard du texte de cet avis et de la procédure qui s'en est suivie, que les intimés ont été valablement représentés pour leurs droits individuels par l'auteur dudit courrier. Le fait que l'envoi recommandé indiqué dans le texte de l'avis n'ait pas été prouvé par un récépissé postal ou une autre preuve de notification est là encore un fait implicite qui n'avait pas à être démontré, dès lors que sa réception n'était pas contestée. Celle-ci est d'ailleurs établie, puisque, conformément au contrat, la recourante a transmis la réclamation pour défauts aux sous-traitants pour une entrevue en juin 2003 (jugement p. 64). Par surabondance, l'expertise hors procès mise en œuvre en été 2003 est suffisamment détaillée pour interrompre, si besoin était, le délai contractuel d'avis. Le dernier argument pour l'avis a trait à l'exercice commun par le représentant de la PPE alors que la recourante soutient que seul un exercice individuel était concevable. Si la garantie des défauts pour des parties communes de la PPE continue en principe à appartenir individuellement à chaque copropriétaire en fonction de son contrat d'entreprise (ATF 111 II 458, JT 1986 I 480), il n'en est pas moins vrai que la communauté de la PPE peut devenir cessionnaire des garanties individuelles des titulaires de parts (ATF 114 II 413, JT 1989 I 162, cf. déjà ATF 109 II 423, JT 1985 I 4; ATF 106 II 11, JT 1981 I 6) Si la doctrine doute de la cessibilité du droit à la réparation du dommage consécutif aux défauts (P. Gauch, op.cit., n 1496 p. 430), il faut observer ici qu'aucune cession n'apparaît au dossier entre les copropriétaires et la communauté, et que cette dernière n'agit pas en justice en l'espèce. En revanche, il est tout à fait admissible qu'avant même de faire un choix entre exécution, résolution ou réduction du prix face à des défauts, chaque copropriétaire maître de l'ouvrage puisse se faire représenter, par exemple par l'administrateur (P. Gauch, op. cit., n. 2442 p. 671). Il en va tout naturellement ainsi pour l'avis des défauts de chaque contrat exercé collectivement par un représentant unique. En définitive, les moyens de la recourante touchant à l'avis des défauts apparaissent mal fondés.</w:t>
      </w:r>
    </w:p>
    <w:p>
      <w:r>
        <w:rPr>
          <w:b/>
        </w:rPr>
        <w:t>E. 8</w:t>
      </w:r>
    </w:p>
    <w:p>
      <w:r>
        <w:t>Comme indiqué ci-dessus (c. 7 i.f.), aucune cession des droits des copropriétaires résultant de chaque contrat d'entreprise n'est intervenue en l'espèce, pour autant qu'elle eût été admissible. La recourante met en cause la solidarité active des demandeurs. Le fait est que les intimés ont exercé des droits contractuels individuels pour lesquels la loi n'a pas prévu la solidarité. Celle-ci n'a été introduite par la jurisprudence que pour la responsabilité des copropriétaires selon l'art. 679 CC ou 58 CO (ATF 117 II 50, JT 1992 I 222), soit passivement dans la PPE, mais non activement, et encore moins pour des prétentions issues de contrats différents, fussent-ils de contenu identique. La solidarité active est ainsi mal fondée. Il n'en résulte pas pour autant que les conclusions des intimés doivent être rejetées selon l'art. 3 CPC. Lorsque plusieurs créanciers prétendent chacun au paiement de l'entier de la dette alors qu'ils n'ont droit qu'à une fraction de celle-ci, leurs conclusions doivent simplement être réduites à cette fraction, conséquence du rejet de la solidarité pour le tout. Comme l'admet d'ailleurs la recourante dans son mémoire ( ch. 4, p. 9), les intimés n'ont droit chacun qu'à des 1/18 èmes de dette de la recourante, et le dispositif du jugement entrepris doit être modifié en fonction de cette quote-part pour chacun. Les lots en société simple doivent, pour cette fraction, voir leurs titulaires créanciers solidaires. L'admission du recours sur ce point n'entraîne aucune modification des dépens de première instance. La recourante succombe en effet tant sur le principe d'une responsabilité pour les défauts que pour l'entier du montant retenu en première instance. Sa responsabilité n'est pas allégée par l'aboutissement de son dernier moyen, savoir qu'elle doit payer le montant retenu par fractions et non en une seule fois. La solidarité des dépens des consorts est confirmée.</w:t>
      </w:r>
    </w:p>
    <w:p>
      <w:r>
        <w:rPr>
          <w:b/>
        </w:rPr>
        <w:t>E. 9</w:t>
      </w:r>
    </w:p>
    <w:p>
      <w:r>
        <w:t>En conclusion, le recours doit être très partiellement admis. Les frais de deuxième instance de la recourante sont arrêtés à 846 fr. (art. 232 TFJC; Tarif du 4 décembre 1984 des  frais judiciaires en matière civile; RSV 270.11.5). En procédure de recours, la recourante perd nettement plus qu'elle ne gagne. Les intimés, solidairement entre eux, ont dès lors droit à des dépens réduits de deuxième instance, arrêtés à 1'200 fr. Par ces motifs, la Chambre des recours du Tribunal cantonal, statuant en audience publique, prononce : I. Le recours est très partiellement admis. II. Le jugement est réformé au chiffre I de son dispositif comme il suit : I.          La défenderesse Y.________ SAeils SA doit payer à chacun des demandeurs : M. &amp; Mme S.________ solidairement entre eux; M. &amp; Mme D.________, solidairement entre eux; M. &amp; Mme H.________, solidairement entre eux; M. &amp; Mme W.________, solidairement entre eux; M. &amp; Mme E.________, solidairement entre eux; M. &amp; Mme P.________, solidairement entre eux; M.________ M. &amp; Mme B.________, solidairement entre eux; M. &amp; Mme L.________r, solidairement entre eux; A.J.________, solidairement entre eux; M. &amp; Mme K.________, solidairement entre eux; M. &amp; Mme O.________, solidairement entre eux; M. &amp; Mme X.________, solidairement entre eux; M. &amp; Mme Z.________, solidairement entre eux; M. &amp; Mme C.________, solidairement entre eux; T.________ M. &amp; Mme N.________, solidairement entre eux; N. R.________, solidairement entre eux; la somme de 2'849 fr. 60 (deux mille huit cent quarante-neuf francs et soixante centimes), avec intérêts à 5 % l'an dès le 9 juin 2005. Il est confirmé pour le surplus. III. Les frais de deuxième instance de la recourante sont arrêtés à 846 fr. (huit cent quarante-six francs). IV. La Y.________ SA doit verser aux intimés M. &amp; Mme S.________, M. &amp; Mme D.________, M. &amp; Mme H.________, M. &amp; Mme W.________, M. &amp; Mme E.________, M. &amp; Mme P.________, M.________, M. &amp; Mme B.________, M. &amp; Mme L.________, A.J.________ et B. J, M. &amp; Mme K.________, M. &amp; Mme O.________, M. &amp; Mme X.________, M. &amp; Mme Z.________, M. &amp; Mme C.________, T.________, M. &amp; Mme N.________, M. &amp; Mme R.________, solidairement entre eux, la somme de 1'200 fr. (mille deux cents francs) à titre de dépens de deuxième instance. V .    L'arrêt motivé est exécutoire. L e président : L a greffi ère : Du 2 décembre 2009 Le dispositif de l'arrêt qui précède est communiqué par écrit aux intéressés. L a greffi ère : Du L'arrêt qui précède, dont la rédaction a été approuvée à huis clos, est notifié en expédition complète, par l'envoi de photocopies à : ‑      M. Raymond Didisheim, pour  Y.________ SA ‑      M. Antoine Eigenmann, pour  A.J.________  et consorts La Chambre des recours considère que la valeur litigieuse est de 51'293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