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2 vom 17. November 2008</w:t>
      </w:r>
    </w:p>
    <w:p>
      <w:r>
        <w:t>VD Tribunal cantonal, 2008-11-17, FR</w:t>
      </w:r>
    </w:p>
    <w:p>
      <w:r>
        <w:rPr>
          <w:b/>
        </w:rPr>
        <w:t xml:space="preserve">Quelle: </w:t>
      </w:r>
      <w:r>
        <w:t>https://mcp.opencaselaw.ch/entscheid/vd_findinfo_AP___2009___2</w:t>
      </w:r>
    </w:p>
    <w:p>
      <w:r>
        <w:t>FR: VD_FINDINFO AP / 2009 / 2 du 17 novembre 2008</w:t>
      </w:r>
    </w:p>
    <w:p>
      <w:r>
        <w:t>IT: VD_FINDINFO AP / 2009 / 2 del 17 novembre 2008</w:t>
      </w:r>
    </w:p>
    <w:p>
      <w:pPr>
        <w:pStyle w:val="Heading2"/>
      </w:pPr>
      <w:r>
        <w:t>Regeste</w:t>
      </w:r>
    </w:p>
    <w:p>
      <w:r>
        <w:t>PEINE PÉCUNIAIRE, SURSIS À L'EXÉCUTION DE LA PEINE, PEINE PRIVATIVE DE LIBERTÉ, FIXATION DE L'AMENDE | 106 CP, 34 ch. 2 CP, 42 ch. 4 CP</w:t>
      </w:r>
    </w:p>
    <w:p>
      <w:pPr>
        <w:pStyle w:val="Heading2"/>
      </w:pPr>
      <w:r>
        <w:t>Erwägungen</w:t>
      </w:r>
    </w:p>
    <w:p>
      <w:r>
        <w:rPr>
          <w:b/>
        </w:rPr>
        <w:t>E. 1</w:t>
      </w:r>
    </w:p>
    <w:p>
      <w:r>
        <w:t>LP et, par conséquent, que la partie insaisissable des revenus n'est pas intangible au pénal. Car s'il fallait, pour prononcer une peine pécuniaire, établir dans chaque cas le minimum vital de l'auteur au sens du droit des poursuites et limiter le montant du jour-amende à la seule partie des revenus journaliers qui excède ce minimum vital, la peine pécuniaire ne pourrait pas entrer en considération pour de larges cercles de la population (personnes en formation, étudiants, femmes et hommes au foyer, chômeurs, bénéficiaires de l'aide sociale, requérants d'asile, marginaux, etc.) - ce que le législateur n'a précisément pas voulu ( ATF 134 IV 60 , consid. 6.5.1). c) En l'espèce, le premier juge a déduit du revenu mensuel moyen du recourant, 400 fr. pour ses impôts et sa taxe militaire, 250 fr. pour son assurance-maladie et 60 fr. pour ses frais de déplacement. Il a toutefois omis de tenir compte dans son évaluation des frais d'entretien et d'habillement du recourant. Comme le relève le Ministère public, le Tribunal fédéral ne retient en général pas de tels frais, mais il laisse une certaine marge d'appréciation au juge. Dans son message, le Conseil fédéral précise d'ailleurs que les charges d'entretien de l'épouse et des enfants - qui doivent être déduits du revenu moyen de l'inculpé -  englobent les frais de nourriture et de loyer qui s'ajoutent au montant que l'inculpé devrait débourser à ce titre pour lui seul (Message, p. 1824). La cour de céans considère que, dans le cas présent, la pension de 1'000 fr. que le recourant verse à sa mère, ainsi qu'un montant de 500 fr. destiné à son habillement, doivent également être déduits de son revenu mensuel moyen. Le revenu disponible s'élève ainsi à 1'490 fr. par mois. Cette somme, divisée par 30, permet de fixer le montant du jour-amende à 50 fr. (1'490 : 30 = 49.66). Le recours de T.________ doit donc être admis dans cette mesure.</w:t>
      </w:r>
    </w:p>
    <w:p>
      <w:r>
        <w:rPr>
          <w:b/>
        </w:rPr>
        <w:t>E. 2</w:t>
      </w:r>
    </w:p>
    <w:p>
      <w:r>
        <w:t>Le recourant conteste dans un second moyen le montant de l'amende infligée, qu'il estime disproportionné. a) Conformément à l'article 42 alinéa 4 CP, le juge peut prononcer, en plus d'une peine assortie du sursis, une peine pécuniaire sans sursis ou une amende selon l'article 106. Il s'agissait, dans le domaine de la délinquance de masse, d'offrir au juge la possibilité d'infliger une sanction perceptible. La règle vise en premier lieu à remédier à la problématique de la délimitation entre l'amende (pour les contraventions) et la peine pécuniaire avec sursis (pour les délits). Les infractions de masse, punies d'une simple amende lorsqu'elles sont de gravité minime, doivent pouvoir être réprimées d'une sanction ferme, lorsqu'elles atteignent le seuil de gravité des délits. Dans cette mesure, soit dans le domaine de la criminalité la moins grave, l'article 42 alinéa 4 CP tend à réaliser l'égalité de traitement dans la sanction. Cette disposition poursuit également des objectifs de prévention générale. La peine pécuniaire ferme additionnelle, respectivement l'amende, contribuent par ailleurs à accroître le potentiel coercitif relativement faible de la peine pécuniaire avec sursis, dans une optique de prévention générale et spéciale. Il s'agit d'une forme d'admonition à l'adresse du condamné afin d'attirer son attention sur le sérieux de la situation tout en lui démontrant ce qui l'attend s'il ne s'amende pas (ATF 134 IV 60, consid. 7.3.1). La loi mentionne tout d'abord la possibilité de combiner la peine pécuniaire (primaire), dont l'exécution est suspendue, avec une peine pécuniaire (secondaire) ferme. Les deux peines pécuniaires doivent sanctionner adéquatement la culpabilité de l'auteur et le nombre total des jours-amende refléter sa faute. Il n'est pas possible d'infliger, pour des motifs de prévention générale, une peine plus lourde que celle justifiée par le principe de la faute. La combinaison de ces peines ne doit pas non plus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(ATF 134 IV 1, consid. 4.5.2). Par ailleurs, d'un point de vue quantitatif, la peine pécuniaire additionnelle ne peut être que d'une quotité moindre. Cela résulte déjà, sous l'angle systématique, de l'article 42 alinéa 4 CP, qui démontre le caractère purement accessoire de cette peine pécuniaire ferme. Le principe de l'octroi du sursis à la peine pécuniaire ne doit pas non plus être biaisé ou éludé par le recours à la peine pécuniaire additionnelle. Dans l'optique de la prévention spéciale, on ne comprendrait pas, si la peine pécuniaire doit être suspendue en raison de l'absence d'un pronostic défavorable, qu'il soit donné plus qu'une semonce au condamné. La peine pécuniaire additionnelle n'atteindrait pas son but (ATF 134 IV 60, consid. 7.3.2). La loi prévoit encore la possibilité d'assortir la peine pécuniaire suspendue d'une amende selon l'article 106 CP (amende contraventionnelle). Les mêmes principes s'appliquent qu'en cas de combinaison avec une peine pécuniaire. La faute doit en particulier se rapporter aux deux sanctions et la peine pécuniaire apparaître adaptée à la faute en tenant compte de l'amende accessoire. L'amende doit être également d'une quotité inférieure à la peine pécuniaire, afin d'en rester l'accessoire et de ne pas aller au-delà de ce que le Tribunal fédéral a dénommé le "sursis qualitativement partiel" (ATF 134 IV 1, consid. 4.5.2).Il existe cependant une différence en tant que le montant de l'amende ne distingue pas les facteurs de la faute et de la situation économique. L'amende fixée globalement rend plus difficile la quantification de la faute parce qu'il lui manque le dénominateur commun constitué par le montant du jour-amende. En outre, le juge prononce dans son jugement, pour le cas où de manière fautive le condamné ne paie pas l'amende, une peine privative de liberté de substitution d'un jour au moins et de trois mois au plus (art. 106 al. 2 CP). Le juge fixe l'amende et la peine privative de liberté de substitution en tenant compte de la situation de l'auteur afin que la peine corresponde à la faute commise (art. 106 al. 3 CP). La règle précise clairement que la capacité économique (« en tenant compte de la situation ») joue un rôle central pour la fixation de l'amende également, même si le juge dispose sur ce point d'un pouvoir d'appréciation plus étendu que dans le système des jours-amende. Le système de la fixation globale de l'amende se révèle ainsi en général moins lourd à mettre en oeuvre, mais la nécessité de fixer dans le jugement une peine privative de liberté de substitution relativise notablement cet allégement. c) Dans l'ATF 134 IV 1 précité, le Tribunal fédéral a jugé qu'une peine pécuniaire de 180 jours-amende, accessoire d'une peine privative de liberté de 18 mois avec sursis, représentait une part trop conséquente de l'ensemble des deux peines infligées (soit un quart) et procédait d'une application erronée de l'article 42 alinéa 2 CP. En l'occurrence, si l'on s'en tient à la proportion d'un quart examinée par le Tribunal fédéral, l'amende infligée au recourant ne devrait pas excéder 1'800 fr., ce qui n'est pas le cas. Néanmoins, il sied de relever que le recourant a également été reconnu coupable de contravention à la LStup. pour une importante consommation de produits stupéfiants. On peut dès lors considérer que l'amende de 2'500 fr. réprime à hauteur de 700 fr. cette importante consommation et que le solde, 1'800 fr., représente l'amende infligée en application de la disposition précitée. Ainsi, le jugement doit être confirmé sur ce point et le recours de T.________ écarté.</w:t>
      </w:r>
    </w:p>
    <w:p>
      <w:r>
        <w:rPr>
          <w:b/>
        </w:rPr>
        <w:t>E. 3</w:t>
      </w:r>
    </w:p>
    <w:p>
      <w:r>
        <w:t>L'opposition formée par T.________ à l'encontre de l'ordonnance de condamnation du 23 novembre 2007 apparaît ainsi bien fondée en ce qui concerne le montant du jour-amende; elle est par contre dépourvue de fondement quant au montant de l'amende. Il se justifie dès lors de mettre une partie des frais de justice de première instance à la charge du recourant, à raison des trois quarts. III. Recours du Ministère public</w:t>
      </w:r>
    </w:p>
    <w:p>
      <w:r>
        <w:rPr>
          <w:b/>
        </w:rPr>
        <w:t>E. 4</w:t>
      </w:r>
    </w:p>
    <w:p>
      <w:r>
        <w:t>CP, le juge a déjà fixé le montant du jour-amende pour la peine privative de liberté assortie du sursis, partant la capacité économique de l'auteur. Il apparaît donc adéquat d'utiliser le montant du jour-amende comme taux de conversion et de diviser l'amende additionnelle par ce montant. La peine privative de liberté de substitution ne peut être inférieure à un jour (art. 106 al. 2 CP) et ce même lorsque le montant du jour-amende est supérieur au montant de l'amende. La loi prescrit en effet explicitement - contrairement à l'ancien droit (ATF 108 IV 1) - un minimum, d'une part, et, d'autre part, on ne verrait pas pourquoi le non-paiement fautif d'une amende additionnelle devrait rester impuni, alors que le même comportement, s'agissant d'une peine pécuniaire, aurait pour conséquence une peine privative de liberté de substitution (ATF 134 IV 60, consid. 7.3.3). Autrement dit, le montant de l'amende doit être divisé par le montant du jour-amende calculé au moment de fixer la peine pécuniaire, ce qui, en l'espèce, donne une peine privative de liberté de substitution de 50 jours (2'500 : 50 = 50). Le jugement attaqué sera dès lors modifié dans cette mesure. IV. En définitive, le recours du Ministère public est partiellement admis et le jugement réformé en ce sens que T.________ est condamné à une peine pécuniaire de 150 jours-amende, le jour-amende étant fixé à 50 fr., et à une amende de 2'500 fr., la peine privative de liberté de substitution en cas de non paiement fautif de cette amende étant de 50 jours, et que les frais de première instance sont mis à la charge du recourant à concurrence de 2'563 francs. Vu l'admission partielle du recours, les frais de deuxième instance seront mis à la charge du recourant à raison d'un quart seulement, le solde restant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