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 vom 11. Oktober 2007</w:t>
      </w:r>
    </w:p>
    <w:p>
      <w:r>
        <w:t>VD Tribunal cantonal, 2007-10-11, FR</w:t>
      </w:r>
    </w:p>
    <w:p>
      <w:r>
        <w:rPr>
          <w:b/>
        </w:rPr>
        <w:t xml:space="preserve">Quelle: </w:t>
      </w:r>
      <w:r>
        <w:t>https://mcp.opencaselaw.ch/entscheid/vd_findinfo_AP___2009___19</w:t>
      </w:r>
    </w:p>
    <w:p>
      <w:r>
        <w:t>FR: VD_FINDINFO AP / 2009 / 19 du 11 octobre 2007</w:t>
      </w:r>
    </w:p>
    <w:p>
      <w:r>
        <w:t>IT: VD_FINDINFO AP / 2009 / 19 del 11 ottobre 2007</w:t>
      </w:r>
    </w:p>
    <w:p>
      <w:pPr>
        <w:pStyle w:val="Heading2"/>
      </w:pPr>
      <w:r>
        <w:t>Regeste</w:t>
      </w:r>
    </w:p>
    <w:p>
      <w:r>
        <w:t>SURSIS À L'EXÉCUTION DE LA PEINE, PRONOSTIC, RÉVOCATION DU SURSIS, SURSIS PARTIEL À L'EXÉCUTION DE LA PEINE | 42 CP, 43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RS 173.110). L'autorité à laquelle l'affaire est renvoyée doit fonder sa nouvelle décision sur les considérants de droit de l'arrêt de cassation et s'en tenir aux instructions du Tribunal fédéral (FF 2001, pp. 4000 ss, spéc. p. 4143; Piquerez, Traité de procédure pénale suisse, 2 ème éd. 2006, n. 1488, p. 891).</w:t>
      </w:r>
    </w:p>
    <w:p>
      <w:r>
        <w:rPr>
          <w:b/>
        </w:rPr>
        <w:t>E. 2</w:t>
      </w:r>
    </w:p>
    <w:p>
      <w:r>
        <w:t>a)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53, consid. 3.3.1 non publié; 128 IV 193 consid. 3a; 118 IV 97 consid. 2b). Le sursis est la règle dont on ne peut s'écarter qu'en présence d'un pronostic défavorable. Il prime en cas d'incertitude (cf. ATF 134 IV 53, consid. 3.3.2 non publié). Sur le plan objectif, seules les peines de six mois à deux ans peuvent être assorties du sursis (cf. art. 42 al. 1 CP). Une peine de 12 à 24 mois peut l'être du sursis total ou partiel, ce qui est le cas présentement, vu la condamnation à 12 mois de peine privative de liberté. b)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53, consid. 4.3.1 non publié).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(cf. ATF 134 IV 53, consid. 4.3.3 non publié). c)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(cf. ATF 134 IV 53, consid. 4.5.1 non publié). d) Dans l'hypothèse où un sursis précédent est révoqué, le juge doit tenir compte des effets prévisibles de l'exécution de cette peine lorsqu'il se prononce sur l'octroi ou le refus du sursis à la nouvelle peine (cf. ATF 134 IV 140 consid. 4.5 p. 144; 116 IV 97 et 177).</w:t>
      </w:r>
    </w:p>
    <w:p>
      <w:r>
        <w:rPr>
          <w:b/>
        </w:rPr>
        <w:t>E. 3</w:t>
      </w:r>
    </w:p>
    <w:p>
      <w:r>
        <w:t>Dans son jugement du 11 octobre 2007, le Tribunal correctionnel de l'arrondissement de Lausanne a révoqué le sursis accordé à G.________ par le Tribunal de police de l'arrondissement de Lausanne le 2 mai 2005 et ordonné l'exécution de la peine d'un mois d'emprisonnement. Comme l'a demandé le Tribunal fédéral, il faut examiner si, au vu des circonstances de l'espèce, l'exécution de la peine révoquée, et le cas échéant d'une partie de la peine nouvellement infligée, suffirait à infléchir le pronostic, qui ne serait dès lors plus défavorable. Les premiers juges ont prononcé un pronostic défavorable aux motifs que G.________ continuait à exercer une activité à la limite de la licéité en vue d'obtenir des revenus complémentaires à sa rente, et que sa prise de conscience était récente, mais relative, puisqu'il disait vouloir diminuer les tarifs de sous-location, sans toutefois les chiffrer. Aucun élément ne permet de mettre en cause cette appréciation et de penser que l'exécution d'un mois d'emprisonnement serait de nature à détourner G.________ de commettre de nouvelles infractions. En effet, la menace d'une telle peine n'a eu auparavant aucun effet sur son comportement et sa volonté de se conformer dorénavant à la loi n'est pas manifeste. Néanmoins, il sied de tenir compte de la révocation du sursis dans la fixation du sursis partiel relatif à la nouvelle peine en diminuant la part ferme de celle-ci d'autant. L'exécution de la peine privative de liberté de quatorze mois doit être dès lors suspendue pour une durée de huit mois.</w:t>
      </w:r>
    </w:p>
    <w:p>
      <w:r>
        <w:rPr>
          <w:b/>
        </w:rPr>
        <w:t>E. 4</w:t>
      </w:r>
    </w:p>
    <w:p>
      <w:r>
        <w:t>En ce qui concerne F.________, les premiers juges ont également posé un pronostic défavorable en ce sens qu'il entendait continuer et même développer ses activités en louant des locaux qu'il destine à la prostitution. Même s'il laisse entendre qu'il a pris des dispositions pour respecter plus scrupuleusement la législation, il a volontairement maintenu des zones d'ombre à propos de son activité. On peut en déduire qu'à l'instar de son co-accusé, il a l'intention de poursuivre à la limite de la licéité. Compte tenu de son appât du gain - révélé par la circonstance aggravante du métier retenue pour l'infraction d'usure -, de la durée du comportement délictueux et de l'absence d'amendement nonobstant les interventions réitérées de la justice, un pronostic favorable ne peut être prononcé. Par jugement du 19 février 2007, le Tribunal de police de l'arrondissement de Lausanne a notamment révoqué le sursis accordé le 2 mai 2005 et ordonné l'exécution de trois mois de détention, sous déduction de huit jours de détention préventive. Il convient ici aussi d'en tenir compte dans la fixation du sursis partiel relatif à la nouvelle peine infligée à F.________. Ainsi, c'est un sursis partiel de neuf mois, au lieu de six, qui peut être accordé sur la peine complémentaire de douze mois. Une telle mesure n'est pas contraire à l'art. 43 al. 3 CP, selon lequel, en cas de sursis partiel à l'exécution d'une peine privative de liberté, la partie suspendue, de même que la partie à exécuter, doivent être de six mois au moins. L'art. 46 al. 1 er CP prévoit en effet que, en cas de révocation de sursis ou de sursis partiel, le juge ne peut prononcer une peine privative de liberté ferme que si la peine d'ensemble atteint une durée de six mois au moins. Tel est le cas lorsque les deux peines sont prises en compte conjointement, comme le Tribunal fédéral l'a précisé dans ses deux arrêts du 13 décembre 2008 (cf. arrêts 6B_496/2008 et 6B_583/2008, consid. 2.4.2). En l'occurrence, aux douze mois de la peine privative de liberté s'ajoutent les trois mois révoqués; de ces quinze mois, neuf peuvent être suspendus et les six autres exécutés, dans le respect de l'art. 43 al. 3 CP précité.</w:t>
      </w:r>
    </w:p>
    <w:p>
      <w:r>
        <w:rPr>
          <w:b/>
        </w:rPr>
        <w:t>E. 5</w:t>
      </w:r>
    </w:p>
    <w:p>
      <w:r>
        <w:t>Enfin, les recourants concluent d'une part à ce que seule une partie des frais de justice de première instance soit mise à leur charge, d'autre part à ce qu'il soit précisé dans le jugement attaqué, conformément à la nouvelle jurisprudence du Tribunal fédéral, que l'indemnité due pour le défenseur d'office ne pourra être recouvrée que lorsque la situation le permettra. Selon le jugement attaqué, les recourants ne doivent pas supporter l'entier des frais de justice, mais la plus grande partie. Aucun motif ne justifie que leur part respective ne soit encore diminuée. Par contre, il y a lieu de se conformer à la nouvelle jurisprudence du Tribunal fédéral et de modifier le jugement en ce sens que le remboursement à l'Etat des indemnités allouées à leurs défenseurs d'office sera exigible pour autant que les situations économiques respectives des recourants se soient améliorées.</w:t>
      </w:r>
    </w:p>
    <w:p>
      <w:r>
        <w:rPr>
          <w:b/>
        </w:rPr>
        <w:t>E. 6</w:t>
      </w:r>
    </w:p>
    <w:p>
      <w:r>
        <w:t>En définitive, les recours sont partiellement admis et le jugement réformé au sens des considérants. Les frais de deuxième instance , y compris l'indemnité allouée au défenseur d'office du recourant G.________ par 387 fr. 35, TVA comprise, et celle allouée au défenseur d'office du recourant F.________ par 387 fr. 35, TVA comprise, sont laissés à la charge de l'Etat, conformément à l'article 450 alinéa 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