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175 vom 2. Juli 2009</w:t>
      </w:r>
    </w:p>
    <w:p>
      <w:r>
        <w:t>VD Tribunal cantonal, 2009-07-02, FR</w:t>
      </w:r>
    </w:p>
    <w:p>
      <w:r>
        <w:rPr>
          <w:b/>
        </w:rPr>
        <w:t xml:space="preserve">Quelle: </w:t>
      </w:r>
      <w:r>
        <w:t>https://mcp.opencaselaw.ch/entscheid/vd_findinfo_AP___2009___175</w:t>
      </w:r>
    </w:p>
    <w:p>
      <w:r>
        <w:t>FR: VD_FINDINFO AP / 2009 / 175 du 2 juillet 2009</w:t>
      </w:r>
    </w:p>
    <w:p>
      <w:r>
        <w:t>IT: VD_FINDINFO AP / 2009 / 175 del 2 luglio 2009</w:t>
      </w:r>
    </w:p>
    <w:p>
      <w:pPr>
        <w:pStyle w:val="Heading2"/>
      </w:pPr>
      <w:r>
        <w:t>Regeste</w:t>
      </w:r>
    </w:p>
    <w:p>
      <w:r>
        <w:t>SURSIS PARTIEL À L'EXÉCUTION DE LA PEINE, FAUTE, DIFFAMATION, CONTRAINTE SEXUELLE, MENACE{DROIT PÉNAL} | 173 ch. 1 CP, 179septies CP, 180 al. 1 CP, 189 al. 1 CP, 43 ch. 1 CP, 47 CP, 411 let. g CPP, 411 let. h CPP, 411 let. i CPP, 415 CPP</w:t>
      </w:r>
    </w:p>
    <w:p>
      <w:pPr>
        <w:pStyle w:val="Heading2"/>
      </w:pPr>
      <w:r>
        <w:t>Erwägungen</w:t>
      </w:r>
    </w:p>
    <w:p>
      <w:r>
        <w:rPr>
          <w:b/>
        </w:rPr>
        <w:t>E. 1</w:t>
      </w:r>
    </w:p>
    <w:p>
      <w:r>
        <w:t>CP. En effet, son comportement ne laisse entrevoir que de faibles chances d'amendement. Ces circonstances excluent le sursis ordinaire. Cela étant, le Ministère public conclut à une peine ferme, même si ses conclusions portant sur la quotité de la peine excluaient le sursis. Les conditions objectives du sursis partiel sont remplies, attendu que l'accusé n'a pas d'antécédents. Cela étant, il y a lieu d'en déterminer les modalités, ce qui revient à déterminer si une peine ferme paraît nécessaire ou non pour détourner l'auteur d'autres crimes ou délits selon l'art. 42 al. 1 CP.A cet égard, l'ensemble des faits matériels incriminés et l'attitude de l'auteur suscitent des doutes très importants au sujet de son comportement futur, même en l'absence de tout antécédent. Ainsi, ses chances d'amendement doivent être considérées comme faibles, d'où un pronostic défavorable. Il apparaît ainsi nécessaire, à des fins de prévention spéciale au sens de la jurisprudence citée ci-dessus, qu'une partie de la peine soit exécutée. Cette part doit être fixée à six mois, comme en ont du reste statué les premiers juges. L' exécution de la peine doit donc être assortie du sursis pour une durée de dix-huit mois. Vu l'impératif de prévention spéciale applicable à un auteur ne présentant que de faibles chances d'amendement, le délai d'épreuve doit être fixé à la limite supérieure prévue par l'art. 44 al. 1 CP, soit à cinq ans , comme l'ont également considéré les premiers juges . Le recours du Ministère public doit donc être admis dans cette mesure III.1. En définitive, le recours du Ministère public doit être admis partiellement et celui de A.J.________ rejeté . Le jugement est réformé en ce sens que l'accusé est condamné à une peine privative de liberté de deux ans, avec suspension de l'exécution d'une partie de la peine portant sur dix-huit mois avec sursis pendant cinq ans.</w:t>
      </w:r>
    </w:p>
    <w:p>
      <w:r>
        <w:rPr>
          <w:b/>
        </w:rPr>
        <w:t>E. 2</w:t>
      </w:r>
    </w:p>
    <w:p>
      <w:r>
        <w:t>L'accusé a été représenté à l'audience par une avocate inscrite au tableau, mais tant le recours que le mémoire déposé en détermination au recours du Ministère public ont été rédigés par un stagiaire. Le travail du conseil a, pour ce qui est de la rédaction du mémoire d'intimé, été considérablement allégé par la connaissance du dossier acquise lors de celle du recours. Il y a lieu d'en tenir compte dans la fixation de l'indemnité. Vu ce qui précède et compte tenu de l'ampleur et de la complexité de la cause, une durée d'activité de onze heures paraît adéquate, à laquelle viendra s'ajouter la participation à l'audience, par 150 fr., d'où une indemnité de 1'360 fr., TVA en sus. Pour sa part, l'indemnité allouée au conseil d'office de la plaignante, avocat breveté, doit être fixée sur la base d'une durée d'activité de cinq heures, d'où une indemnité de 900 fr., TVA en sus.</w:t>
      </w:r>
    </w:p>
    <w:p>
      <w:r>
        <w:rPr>
          <w:b/>
        </w:rPr>
        <w:t>E. 3</w:t>
      </w:r>
    </w:p>
    <w:p>
      <w:r>
        <w:t>Conformément à l'art. 450 al. 1 CPP, la moitié des frais de deuxième instance, plus l'indemnité allouée à son défenseur d'office, par 1'463 fr. 35 , et y compris la moitié de l'indemnité allouée au conseil d'office de la plaignante, par 484 fr. 20, seront mis à la charge de A.J.________ , le solde étant laissé à celle de l'Etat (art. 450 al. 2 CPP). Le remboursement à l'Etat de l'indemnité due au défenseur d'office sera exigible pour autant que la situation économique de l'accusé se soit améliorée (ATF 135 I 91 , c. 2.4, spéc. 2.4.3 ).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