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168 vom 28. September 2009</w:t>
      </w:r>
    </w:p>
    <w:p>
      <w:r>
        <w:t>VD Tribunal cantonal, 2009-09-28, FR</w:t>
      </w:r>
    </w:p>
    <w:p>
      <w:r>
        <w:rPr>
          <w:b/>
        </w:rPr>
        <w:t xml:space="preserve">Quelle: </w:t>
      </w:r>
      <w:r>
        <w:t>https://mcp.opencaselaw.ch/entscheid/vd_findinfo_AP___2009___168</w:t>
      </w:r>
    </w:p>
    <w:p>
      <w:r>
        <w:t>FR: VD_FINDINFO AP / 2009 / 168 du 28 septembre 2009</w:t>
      </w:r>
    </w:p>
    <w:p>
      <w:r>
        <w:t>IT: VD_FINDINFO AP / 2009 / 168 del 28 settembre 2009</w:t>
      </w:r>
    </w:p>
    <w:p>
      <w:pPr>
        <w:pStyle w:val="Heading2"/>
      </w:pPr>
      <w:r>
        <w:t>Regeste</w:t>
      </w:r>
    </w:p>
    <w:p>
      <w:r>
        <w:t>NOTIFICATION IRRÉGULIÈRE | 485u CPP, 56 LContr, 59 LContr, 70 LContr</w:t>
      </w:r>
    </w:p>
    <w:p>
      <w:pPr>
        <w:pStyle w:val="Heading2"/>
      </w:pPr>
      <w:r>
        <w:t>Erwägungen</w:t>
      </w:r>
    </w:p>
    <w:p>
      <w:r>
        <w:rPr>
          <w:b/>
        </w:rPr>
        <w:t>E. 1</w:t>
      </w:r>
    </w:p>
    <w:p>
      <w:r>
        <w:t>Selon les art. 106 al. 5 CP (Code pénal du 21 décembre 1937; RS 311.0), 36 al. 2 CP et 27 al. 1 LEP (Loi sur l'exécution des condamnations pénales du 4 juillet 2006 ;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En vertu de l'art. 38 al. 1 LEP, la Cour de cassation pénale du Tribunal cantonal est compétente pour connaître des recours formés contre les décisions du Juge d'application des peines, à l'exception de celle rendues sur recours. En l'espèce, la décision attaquée est un prononcé du Juge d'application des peines pouvant faire l'objet d'un recours auprès de la Cour de cassation, conformément aux art. 485m ss CPP (Code de procédure pénale du 12 septembre 1967; RSV 312.01).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Les pièces nouvelles produites à l'appui du recours, comme en l'espèce, sont également recevables. En cas d'admission du recours, la Cour de cassation peut réformer ou annuler la décision attaquée (art. 485u CPP). Elle dispose ainsi d'un large pouvoir d'appréciation.</w:t>
      </w:r>
    </w:p>
    <w:p>
      <w:r>
        <w:rPr>
          <w:b/>
        </w:rPr>
        <w:t>E. 3</w:t>
      </w:r>
    </w:p>
    <w:p>
      <w:r>
        <w:t>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à faire usage, dans l'hypothèse où cette absence de paiement n'est pas imputable à ce dernier, des facultés que lui confère l'art. 36 al. 3 CP (al. 3). En l'espèce, U.________ expose n'avoir jamais eu connaissance du prononcé préfectoral le condamnant pour avoir omis de renseigner la Caisse de compensation AVS, étant incarcéré, durant l'année 2008, au Pénitencier de Lenzburg tout d'abord puis à celui de Bellevue, à Gorgier. Il précise avoir envoyé le 3 décembre 2008 un courrier à la caisse de compensation afin de régulariser sa situation, indiquant à quelle adresse tout courrier devait lui être adressé. A l'appui de son recours, U.________ produit également un document établi par l'Office d'exécution des peines du canton de Vaud, qui atteste que l'intéressé a été détenu dès le 6 novembre 2004 dans différents établissements pénitentiaires, sans interruption. L'étude du dossier permet de constater qu'en l'espèce, le prononcé préfectoral sur lequel est fondée la décision du juge d'application des peines n'a pas été valablement notifié au regard des art. 43, 56, 59 et 70 LContr (Loi sur les contraventions du 18 novembre 1969; RSV 312.11). En effet, ce prononcé a été envoyé à U.________ en mars 2008 à une adresse de Bex, alors que le recourant était déjà incarcéré depuis plus de trois ans à cette date. Le fait que le juge d'application des peines a adressé copie de ce prononcé à l'intéressé lors de la communication de sa propre décision ne couvre pas cette irrégularité, car il s'agissait uniquement d'un envoi pour information, sous pli simple. Dans ces circonstances, la décision du juge d'application des peines repose sur une décision non exécutoire et, comme telle, elle ne peut qu'être annulée. Il appartiendra au magistrat de première instance de transmettre à nouveau le dossier au Préfet, afin que ce dernier notifie valablement son prononcé au recourant là où il se trouve, soit, en l'état, à Gorgier (EEP Bellevue), comme U.________ l'a indiqué dans son recours.</w:t>
      </w:r>
    </w:p>
    <w:p>
      <w:r>
        <w:rPr>
          <w:b/>
        </w:rPr>
        <w:t>E. 4</w:t>
      </w:r>
    </w:p>
    <w:p>
      <w:r>
        <w:t>En définitive, le recours d'U.________ doit être admis et le prononcé attaqué annulé, la cause étant renvoyée au Juge d'application des peines pour procéder au sens des considérants. Les frais de deuxième instance seront supportés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