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153 vom 27. Mai 2009</w:t>
      </w:r>
    </w:p>
    <w:p>
      <w:r>
        <w:t>VD Tribunal cantonal, 2009-05-27, FR</w:t>
      </w:r>
    </w:p>
    <w:p>
      <w:r>
        <w:rPr>
          <w:b/>
        </w:rPr>
        <w:t xml:space="preserve">Quelle: </w:t>
      </w:r>
      <w:r>
        <w:t>https://mcp.opencaselaw.ch/entscheid/vd_findinfo_AP___2009___153</w:t>
      </w:r>
    </w:p>
    <w:p>
      <w:r>
        <w:t>FR: VD_FINDINFO AP / 2009 / 153 du 27 mai 2009</w:t>
      </w:r>
    </w:p>
    <w:p>
      <w:r>
        <w:t>IT: VD_FINDINFO AP / 2009 / 153 del 27 maggio 2009</w:t>
      </w:r>
    </w:p>
    <w:p>
      <w:pPr>
        <w:pStyle w:val="Heading2"/>
      </w:pPr>
      <w:r>
        <w:t>Regeste</w:t>
      </w:r>
    </w:p>
    <w:p>
      <w:r>
        <w:t>SURSIS PARTIEL À L'EXÉCUTION DE LA PEINE, RÉCIDIVE{INFRACTION}, ANTÉCÉDENT, FIXATION DE LA PEINE | 42 ch. 1 CP, 42 CP, 43 ch. 1 CP</w:t>
      </w:r>
    </w:p>
    <w:p>
      <w:pPr>
        <w:pStyle w:val="Heading2"/>
      </w:pPr>
      <w:r>
        <w:t>Erwägungen</w:t>
      </w:r>
    </w:p>
    <w:p>
      <w:r>
        <w:rPr>
          <w:b/>
        </w:rPr>
        <w:t>E. 1</w:t>
      </w:r>
    </w:p>
    <w:p>
      <w:r>
        <w:t>CPP). Elle ne peut cependant aller au-delà des conclusions du recourant (art. 447 al. 2 CPP).</w:t>
      </w:r>
    </w:p>
    <w:p>
      <w:r>
        <w:rPr>
          <w:b/>
        </w:rPr>
        <w:t>E. 2</w:t>
      </w:r>
    </w:p>
    <w:p>
      <w:r>
        <w:t>a)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 4.2.3). En l'espèce, les premiers juges ont considéré à juste titre qu'un sursis complet était exclu en raison de la période de détention au Luxembourg, conformément à l'art. 42 al. 2 CP. Ils ont par contre retenu qu'un sursis partiel n'était pas d'emblée exclu eu égard aux regrets manifestés à l'audience et à l'impact du solde de la peine à purger. Le Ministère public conteste cette appréciation. b)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et les règles d'octroi de la libération conditionnelle (cf. art. 86 CP) ne lui sont pas applicables (al. 3).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 5.5.2). Un sursis partiel n'entre en considération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Il en découle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Autrement dit, 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(TF, 6B_492/2008 du 19 mai 2009 c. 3.1.3) . Selon cette récente jurisprudence, l'art. 42 al. 2 CP s'applique également en ce qui concerne le sursis partiel dans le cas de G.________ qui, compte tenu de ses antécédents et des infractions retenues à son encontre dans la présente procédure, ne peut manifestement pas se prévaloir de circonstances particulièrement favorables. Dès lors, c'est à tort que le sursis partiel lui a été accordé.</w:t>
      </w:r>
    </w:p>
    <w:p>
      <w:r>
        <w:rPr>
          <w:b/>
        </w:rPr>
        <w:t>E. 3</w:t>
      </w:r>
    </w:p>
    <w:p>
      <w:r>
        <w:t>En définitive, le recours du Ministère public doit être admis et le jugement réformé dans le sens des considérants. Les frais de deuxième instance, y compris l'indemnité due au défenseur d'office du recourant par 320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