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148 vom 16. Juni 2009</w:t>
      </w:r>
    </w:p>
    <w:p>
      <w:r>
        <w:t>VD Tribunal cantonal, 2009-06-16, FR</w:t>
      </w:r>
    </w:p>
    <w:p>
      <w:r>
        <w:rPr>
          <w:b/>
        </w:rPr>
        <w:t xml:space="preserve">Quelle: </w:t>
      </w:r>
      <w:r>
        <w:t>https://mcp.opencaselaw.ch/entscheid/vd_findinfo_AP___2009___148</w:t>
      </w:r>
    </w:p>
    <w:p>
      <w:r>
        <w:t>FR: VD_FINDINFO AP / 2009 / 148 du 16 juin 2009</w:t>
      </w:r>
    </w:p>
    <w:p>
      <w:r>
        <w:t>IT: VD_FINDINFO AP / 2009 / 148 del 16 giugno 2009</w:t>
      </w:r>
    </w:p>
    <w:p>
      <w:pPr>
        <w:pStyle w:val="Heading2"/>
      </w:pPr>
      <w:r>
        <w:t>Regeste</w:t>
      </w:r>
    </w:p>
    <w:p>
      <w:r>
        <w:t>TORT MORAL, SURSIS PARTIEL À L'EXÉCUTION DE LA PEINE, SURSIS À L'EXÉCUTION DE LA PEINE | 47 CO, 42 CP, 43 CP, 44 CP</w:t>
      </w:r>
    </w:p>
    <w:p>
      <w:pPr>
        <w:pStyle w:val="Heading2"/>
      </w:pPr>
      <w:r>
        <w:t>Erwägungen</w:t>
      </w:r>
    </w:p>
    <w:p>
      <w:r>
        <w:rPr>
          <w:b/>
        </w:rPr>
        <w:t>E. 1</w:t>
      </w:r>
    </w:p>
    <w:p>
      <w:r>
        <w:t>Le recours est en réforme exclusivement. En pareil cas, la cour de céans est liée par les faits constatés dans le jugement attaqué, sous réserve des inadvertances manifestes, inexistantes en l'espèce, qu'elle rectifie d'office, ou d'éventuels compléments qui ressortiraient des pièces du dossier (art. 447 al. 2 CPP). En revanche, elle examine librement les questions de droit sans être limitée aux moyens invoqués (art. 447 al. 1er CPP). Elle ne peut cependant aller au-delà des conclusions du recourant (art. 447 al. 2 CPP).</w:t>
      </w:r>
    </w:p>
    <w:p>
      <w:r>
        <w:rPr>
          <w:b/>
        </w:rPr>
        <w:t>E. 2</w:t>
      </w:r>
    </w:p>
    <w:p>
      <w:r>
        <w:t>Le recourant reproche au tribunal d'avoir abusé de son pouvoir d'appréciation en ne prenant pas suffisamment en compte les éléments permettant l'octroi d'un sursis complet. Il relève que le jugement entrepris n'indique pas l'existence de doutes très importants au sujet du comportement futur de l'auteur et soutient que l'exécution partielle de la peine privative de liberté n'est pas indispensable pour l'amélioration de ses perspectives d'amendement.</w:t>
      </w:r>
    </w:p>
    <w:p>
      <w:r>
        <w:rPr>
          <w:b/>
        </w:rPr>
        <w:t>E. 2.1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2.1.1</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(TF 6B_492/2008 du 19 mai 2009, c. 3.1.1; ATF 134 IV 1, c. 5.5.2).</w:t>
      </w:r>
    </w:p>
    <w:p>
      <w:r>
        <w:rPr>
          <w:b/>
        </w:rPr>
        <w:t>E. 2.1.2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précité,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du 19 mai 2009, précité, c. 3.1.2; ATF 134 IV 1, précité, c. 4.2.2).</w:t>
      </w:r>
    </w:p>
    <w:p>
      <w:r>
        <w:rPr>
          <w:b/>
        </w:rPr>
        <w:t>E. 2.1.3</w:t>
      </w:r>
    </w:p>
    <w:p>
      <w:r>
        <w:t>Conformément à la jurisprudence exposée ci-dessus,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(TF 6B_492/2008 du 19 mai 2009, précité, c. 3.1.1).</w:t>
      </w:r>
    </w:p>
    <w:p>
      <w:r>
        <w:rPr>
          <w:b/>
        </w:rPr>
        <w:t>E. 2.1.4</w:t>
      </w:r>
    </w:p>
    <w:p>
      <w:r>
        <w:t>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2.2</w:t>
      </w:r>
    </w:p>
    <w:p>
      <w:r>
        <w:t>En l'espèce, après avoir relevé la prise de conscience relative de J.________ par rapport aux gestes qu'il a commis, ses antécédents judiciaires en relation avec une alcoolisation massive et son absence de soutien médical quant à la gestion de sa consommation d'alcool, le tribunal a estimé que l'exécution d'une partie de la peine, sous déduction de la détention préventive subie, lui permettra non seulement de prendre conscience de la gravité de son comportement, dans sa globalité, mais également de mettre en place un suivi médical. La Cour de céans ne peut que se rallier aux arguments avancés par les premiers juges et constate que si le pronostic n'est pas entièrement défavorable, il n'en demeure pas moins qu'il existe de sérieux doutes sur les perspectives d'amendement du condamné. En effet, les infractions commises l'ont été pour partie avant et pour partie après l'ordonnance de condamnation du 3 septembre 2008 ce qui tend à démontrer que tant la poursuite pénale antérieure que la condamnation elle-même n'ont conduit à aucune prise de conscience. Au demeurant, le fait qu'il reconnaisse notamment avoir un problème d'alcool, toutefois sans envisager de traitement, ne paraît pas suffisant pour le détourner sérieusement de la commission de nouvelles infractions. En l'occurrence, il est raisonnable de considérer que l'exécution d'une partie de la peine privative de liberté ajoutée à la menace d'en exécuter une autre devrait suffire à détourner l'intéressé de commettre de nouvelles infractions tout en réprimant efficacement celles commises. Le moyen est donc mal fondé et ne peut être que rejeté.</w:t>
      </w:r>
    </w:p>
    <w:p>
      <w:r>
        <w:rPr>
          <w:b/>
        </w:rPr>
        <w:t>E. 3</w:t>
      </w:r>
    </w:p>
    <w:p>
      <w:r>
        <w:t>A titre subsidiaire, le recourant sollicite que la quotité de la peine à exécuter soit fixée à six mois.</w:t>
      </w:r>
    </w:p>
    <w:p>
      <w:r>
        <w:rPr>
          <w:b/>
        </w:rPr>
        <w:t>E. 3.1</w:t>
      </w:r>
    </w:p>
    <w:p>
      <w:r>
        <w:t>D'après l'art. 43 al. 2 et 3 CP, la partie ferme de la peine doit être comprise entre six mois et la moitié de la peine, inclusivement. S'il prononce une peine de trente-six mois de privation de liberté, le juge peut ainsi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6B_604/2008 du 26 décembre 2008, c. 2.1 et les arrêts cités).</w:t>
      </w:r>
    </w:p>
    <w:p>
      <w:r>
        <w:rPr>
          <w:b/>
        </w:rPr>
        <w:t>E. 3.2</w:t>
      </w:r>
    </w:p>
    <w:p>
      <w:r>
        <w:t>In casu, le tribunal a considéré la culpabilité du recourant comme particulièrement lourde, ce dernier ayant gravement porté atteinte à l'intégrité corporelle de W.________ durant une longue période. Quant au pronostic, il peut être qualifié de mitigé, notamment au vu des problèmes d'alcool de J.________. Au regard de ces éléments, la répartition par moitié de la peine ferme et de la peine avec sursis demeure dans le cadre du pouvoir d'appréciation reconnu aux premiers juges et n'apparaît par conséquent pas critiquable vu notamment le caractère blâmable des faits à lui imputer. Il sied d'ailleurs de mentionner que la part de la peine à exécuter est très proche du minimum légal de six mois. Mal fondé, le moyen doit être rejeté.</w:t>
      </w:r>
    </w:p>
    <w:p>
      <w:r>
        <w:rPr>
          <w:b/>
        </w:rPr>
        <w:t>E. 4</w:t>
      </w:r>
    </w:p>
    <w:p>
      <w:r>
        <w:t>Le jugement entrepris impose au recourant un traitement au titre de règle de conduite. Il sied d'examiner s'il était possible de faire intervenir celui-ci uniquement une fois l'exécution partielle de la peine effectuée.</w:t>
      </w:r>
    </w:p>
    <w:p>
      <w:r>
        <w:rPr>
          <w:b/>
        </w:rPr>
        <w:t>E. 4.1</w:t>
      </w:r>
    </w:p>
    <w:p>
      <w:r>
        <w:t>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 2.1; 108 IV 152, c. 3a; 106 IV 325, c. 1 et les arrêts cités). Le choix et le contenu de la règle de conduite doivent s'inspirer de considérations pédagogiques, sociologiques et médicales (ATF 107 IV 88, c. 3a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précité, c. 2.2).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il ne peut être affecté de l'un de ces troubles qu'à un faible degré. En outre, en cas d'échec, la règle de conduite ne peut pas être convertie en une mesure thérapeutique institutionnelle (conformément à l'art. 63b al. 5 CP; Stratenwerth, Schweizerisches Strafrecht, AT II : Strafen und Massnahmen, 2 ème éd., Berne 2006, n. 79).</w:t>
      </w:r>
    </w:p>
    <w:p>
      <w:r>
        <w:rPr>
          <w:b/>
        </w:rPr>
        <w:t>E. 4.2</w:t>
      </w:r>
    </w:p>
    <w:p>
      <w:r>
        <w:t>Au vu de la jurisprudence précitée, il est admissible d'ordonner un traitement de l'alcoolisme à la fin de l'exécution de la peine et pendant le sursis partiel au titre de règle de conduite. Le jugement ne peut être que confirmé sur ce point.</w:t>
      </w:r>
    </w:p>
    <w:p>
      <w:r>
        <w:rPr>
          <w:b/>
        </w:rPr>
        <w:t>E. 5</w:t>
      </w:r>
    </w:p>
    <w:p>
      <w:r>
        <w:t>Le recourant considère que l'indemnité pour tort moral, d'un montant de 10'000 fr., allouée par le tribunal est excessivement élevée.</w:t>
      </w:r>
    </w:p>
    <w:p>
      <w:r>
        <w:rPr>
          <w:b/>
        </w:rPr>
        <w:t>E. 5.1</w:t>
      </w:r>
    </w:p>
    <w:p>
      <w:r>
        <w:t>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 et Tercier, La responsabilité civile, 2 ème éd., Berne 1982, p. 93, n. 24 s.; Tercier, op. cit., p. 267, n. 2029, et pp. 270 ss, n. 2047 ss; du même auteur, La réparation du tort moral : crise ou évolution ?, in Mélanges Deschenaux, Fribourg 1977, pp. 307 ss, spéc. p. 313, ch. 3).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129 IV 22, c.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précité, c. 7.2 et les arrêts cités). Les facteurs de réduction des articles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130 III 699, précité, c. 5.1; 129 IV 22, précité, c. 7.2; 125 III 269, c. 2a).</w:t>
      </w:r>
    </w:p>
    <w:p>
      <w:r>
        <w:rPr>
          <w:b/>
        </w:rPr>
        <w:t>E. 5.2</w:t>
      </w:r>
    </w:p>
    <w:p>
      <w:r>
        <w:t>En l'espèce, les séquelles physiques sont relativement peu importantes (plusieurs dents ayant subi un choc sont susceptibles de complications telles que la nécrose et, au niveau ophtalmique, une discrète diminution de la sensibilité superficielle dans le territoire de V2 à gauche), il n'en demeure pas moins qu'W.________ a subi un préjudice psychique important. Sa psychologue, B.________, a relevé la présence de symptômes caractéristiques d'un état de stress post traumatique tels que des pensées intrusives (reviviscence de souvenirs pénibles liés aux agressions, cauchemars, troubles du sommeil), des comportements d'évitement (éviter de sortir dans la nuit autour de sa maison, de se retrouver seule) et des comportements traduisant une hypersensibilité psychique et une hyper vigilance (difficulté de concentration, réaction de sursaut exagérée). Aux débats, elle a précisé que le stress post traumatique était sévère, qu'elle avait déjà vu W.________ à quatorze reprises et qu'elle estimait qu'entre quinze et vingt séances seront nécessaires avant d'envisager la fin des consultations (jgt., pp. 10-11). Les souffrances psychologiques constatées sont importantes. Entre janvier et novembre 2008, la plaignante a subi des violences graves et répétées de la part de son ancien compagnon. S'il n'est pas question de minimiser le choc subi et les conséquences pouvant résulter d'une telle atteinte, il apparaît cependant que l'indemnité de 10'000 fr. octroyée est trop élevée et doit être revue à la baisse. Au vu de l'ensemble des circonstances du cas d'espèce, un montant de 7'000 fr. apparaît équitable. Le grief est bien fondé et doit être partiellement.</w:t>
      </w:r>
    </w:p>
    <w:p>
      <w:r>
        <w:rPr>
          <w:b/>
        </w:rPr>
        <w:t>E. 6</w:t>
      </w:r>
    </w:p>
    <w:p>
      <w:r>
        <w:t>En définitive, le recours de J.________ doit être partiellement admis et le jugement entrepris réformé dans le sens des considérants. Les frais de deuxième instance, y compris l'indemnité allouée à son défenseur d'office par 440 fr., sont mis à raison des quatre cinquièmes à la charge du recourant, le solde étant laissé à la charge de l'Etat.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