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136 vom 21. Juli 2009</w:t>
      </w:r>
    </w:p>
    <w:p>
      <w:r>
        <w:t>VD Tribunal cantonal, 2009-07-21, FR</w:t>
      </w:r>
    </w:p>
    <w:p>
      <w:r>
        <w:rPr>
          <w:b/>
        </w:rPr>
        <w:t xml:space="preserve">Quelle: </w:t>
      </w:r>
      <w:r>
        <w:t>https://mcp.opencaselaw.ch/entscheid/vd_findinfo_AP___2009___136</w:t>
      </w:r>
    </w:p>
    <w:p>
      <w:r>
        <w:t>FR: VD_FINDINFO AP / 2009 / 136 du 21 juillet 2009</w:t>
      </w:r>
    </w:p>
    <w:p>
      <w:r>
        <w:t>IT: VD_FINDINFO AP / 2009 / 136 del 21 luglio 2009</w:t>
      </w:r>
    </w:p>
    <w:p>
      <w:pPr>
        <w:pStyle w:val="Heading2"/>
      </w:pPr>
      <w:r>
        <w:t>Regeste</w:t>
      </w:r>
    </w:p>
    <w:p>
      <w:r>
        <w:t>SURSIS PARTIEL À L'EXÉCUTION DE LA PEINE, SURSIS À L'EXÉCUTION DE LA PEINE, FIXATION DE LA PEINE, PAR MÉTIER | 42 CP, 43 CP, 47 CP, 411 let. h CPP, 411 let. i CPP, 415 CPP, 19 ch. 2 let. c LStup</w:t>
      </w:r>
    </w:p>
    <w:p>
      <w:pPr>
        <w:pStyle w:val="Heading2"/>
      </w:pPr>
      <w:r>
        <w:t>Erwägungen</w:t>
      </w:r>
    </w:p>
    <w:p>
      <w:r>
        <w:rPr>
          <w:b/>
        </w:rPr>
        <w:t>E. 3</w:t>
      </w:r>
    </w:p>
    <w:p>
      <w:r>
        <w:t>L'accusé estime que la peine prononcée par le tribunal est arbitrairement sévère. Il soutient n'avoir agi ni en bande ni par métier et n'être qu'un jeune africain déraciné qui a eu du mal à faire face à sa situation précaire.</w:t>
      </w:r>
    </w:p>
    <w:p>
      <w:r>
        <w:rPr>
          <w:b/>
        </w:rPr>
        <w:t>E. 3.1</w:t>
      </w:r>
    </w:p>
    <w:p>
      <w:r>
        <w:t>Selon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critère essentiel est celui de la faute.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(art. 415 al. 3 CPP; arrêt du TF du 6 février 2008, 6B_710/2007, c.</w:t>
      </w:r>
    </w:p>
    <w:p>
      <w:r>
        <w:rPr>
          <w:b/>
        </w:rPr>
        <w:t>E. 3.2</w:t>
      </w:r>
    </w:p>
    <w:p>
      <w:r>
        <w:t>Puisque les conditions du métier posées par la jurisprudence ne sont ‑ comme vu ci-dessus (c. 2.2.2) - pas réalisées, mais que cet élément a été pris en compte par le tribunal pour évaluer la faute du recourant dans le cadre de l'art. 47 CP, il appartient la cour de céans de fixer à nouveau la peine. Au moment de fixer la peine, les premiers juges ont pris en considération la lourde culpabilité de l'accusé, ses antécédents, le concours d'infractions ainsi que la gravité et la durée de celles-ci. A décharge, il a été retenu qu'N.________ est un jeune Africain déraciné qui s'est retrouvé en Suisse sans famille, sans attache et sans travail, cette situation précaire pouvant expliquer sa chute dans la délinquance. Dans ces conditions, la peine a été fixée sur la base de critères pertinents et le recourant n'invoque aucun élément, propre à modifier la peine, que la cour aurait omis ou pris en considération à tort. En l'espèce, l'intéressé tombe déjà sous le cas grave en raison de la quantité de la drogue (art. 19 ch. 2 let. a Lstup) et encourt donc une peine privative de liberté d'un an au moins. Dès lors, le fait que la circonstance aggravante du métier ne soit plus retenue doit entraîner une réduction de la peine de six mois. Compte tenu des éléments mentionnés ci-dessus, la cour de céans considère qu'une peine privative de liberté de trente mois sanctionne adéquatement le prénommé.</w:t>
      </w:r>
    </w:p>
    <w:p>
      <w:r>
        <w:rPr>
          <w:b/>
        </w:rPr>
        <w:t>E. 4</w:t>
      </w:r>
    </w:p>
    <w:p>
      <w:r>
        <w:t>Le recourant considère que le sursis, à tout le moins partiel, aurait dû lui être octroyé. Il fait notamment valoir qu'il est emprisonné depuis cinq mois et qu'il a eu tout le loisir de prendre conscience de ses actes et de réfléchir à sa situation.</w:t>
      </w:r>
    </w:p>
    <w:p>
      <w:r>
        <w:rPr>
          <w:b/>
        </w:rPr>
        <w:t>E. 4.1</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En revanche, les conditions objectives des art. 42 et 43 CP ne se recoupent pas. Ainsi, les peines privatives de liberté jusqu'à une année ne peuvent être assorties du sursis partiel. Une peine de douze à vingt-quatre mois peut être assortie du sursis ou du sursis partiel. Le sursis total à l'exécution d'une peine privative de liberté est exclu, dès que celle-ci dépasse vingt-quatre mois. Jusqu'à trente-six mois, le sursis partiel peut cependant être octroyé (ATF 134 IV 1, précité, c. 5.3.2).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précité, c. 5.5.1). Pour des peines privatives de liberté de cette importance, le sursis partiel ne doit pas être accordé au seul motif que le pronostic ne serait plus totalement défavorable compte tenu de l'effet d'avertissement constitué par l'exécution d'une partie de la peine comme c'est le cas pour des peines comprises entre un et deux ans (TF 6B_719/2007 du 4 mars 2008, c. 6.2.2.2). En effet, lorsque le juge prononce une peine privative de liberté de deux à trois ans, il ne pourra, comme on l'a vu ci-dessus, octroyer le sursis partiel à l'exécution que pour autant que le pronostic ne soit pas défavorable, et cela sans qu'il n'ait plus à prendre particulièrement en compte l'effet de l'exécution d'une partie de la peine (TF 6B 538/2007 du 2 juin 2008, c. 3.2.2).</w:t>
      </w:r>
    </w:p>
    <w:p>
      <w:r>
        <w:rPr>
          <w:b/>
        </w:rPr>
        <w:t>E. 4.2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134 IV 5, c. 4.2.1; 118 IV 97, c. 2b).</w:t>
      </w:r>
    </w:p>
    <w:p>
      <w:r>
        <w:rPr>
          <w:b/>
        </w:rPr>
        <w:t>E. 4.3</w:t>
      </w:r>
    </w:p>
    <w:p>
      <w:r>
        <w:t>En l'occurrence, le sursis total au sens de l'art. 42 CP est exclu, la peine privative de liberté prononcée à l'encontre du recourant étant de trente mois. Les premiers juges ont relevé que l'accusé, bien que condamné à trois reprises pour des délits similaires commis en 2002 et 2003, a poursuivi ses agissements délictueux durant plusieurs années, sous réserve d'un séjour de quelques mois à l'étranger. Il est indéniable que les peines fermes prononcées contre lui en 2002 et 2003 ne semblent pas avoir suscité chez lui une prise de conscience de ses actes. De plus, le recourant a minimisé la gravité de ses actes, sa culpabilité est lourde et son activité illicite s'est étendue sur une longue période. Fondé sur ces éléments, le pronostic est défavorable et l'on ne voit pas qu'une exécution partielle de la peine suffise à détourner le recourant de la récidive. L'effet dissuasif qu'ont pu exercer les quelque cinq mois de détention préventive subis par N.________ ne suffisent pas à contrebalancer l'ensemble des circonstances défavorables susmentionnées et le pronostic qu'il convient de poser quant au comportement futur du recourant ne peut être que négatif. Mal fondé, le moyen doit être rejeté. IV. En définitive, le recours d'N.________ doit être partiellement admis et le jugement réformé dans le sens des considérants, les frais de seconde instance étant mis à la charge du recourant à raison d'un tiers,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