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130 vom 23. März 2009</w:t>
      </w:r>
    </w:p>
    <w:p>
      <w:r>
        <w:t>VD Tribunal cantonal, 2009-03-23, FR</w:t>
      </w:r>
    </w:p>
    <w:p>
      <w:r>
        <w:rPr>
          <w:b/>
        </w:rPr>
        <w:t xml:space="preserve">Quelle: </w:t>
      </w:r>
      <w:r>
        <w:t>https://mcp.opencaselaw.ch/entscheid/vd_findinfo_AP___2009___130</w:t>
      </w:r>
    </w:p>
    <w:p>
      <w:r>
        <w:t>FR: VD_FINDINFO AP / 2009 / 130 du 23 mars 2009</w:t>
      </w:r>
    </w:p>
    <w:p>
      <w:r>
        <w:t>IT: VD_FINDINFO AP / 2009 / 130 del 23 marzo 2009</w:t>
      </w:r>
    </w:p>
    <w:p>
      <w:pPr>
        <w:pStyle w:val="Heading2"/>
      </w:pPr>
      <w:r>
        <w:t>Regeste</w:t>
      </w:r>
    </w:p>
    <w:p>
      <w:r>
        <w:t>CONCOURS RÉEL, FIXATION DE LA PEINE | 47 CP, 49 al. 2 CP</w:t>
      </w:r>
    </w:p>
    <w:p>
      <w:pPr>
        <w:pStyle w:val="Heading2"/>
      </w:pPr>
      <w:r>
        <w:t>Erwägungen</w:t>
      </w:r>
    </w:p>
    <w:p>
      <w:r>
        <w:rPr>
          <w:b/>
        </w:rPr>
        <w:t>E. 1</w:t>
      </w:r>
    </w:p>
    <w:p>
      <w:r>
        <w:t>Le recours est en réforme exclusivement. En pareil cas,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2</w:t>
      </w:r>
    </w:p>
    <w:p>
      <w:r>
        <w:t>éd., 2007, n. 71 ad art. 49). Il faut d'abord déterminer l'infraction pour laquelle la loi prévoit la peine la plus grave, puis évaluer la sanction qu'elle mérite dans le cas concret et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 2; 116 IV 14, c. 2b et les réf. cit.).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Ces dernières ne sont ensuite pas cumulées, mais "absorbées" (TF 6S.848/1998 du 10 septembre 1999, c. 1c/cc; ATF 116 IV 14, précité, c. 2c.; TF 6B_28/2008, précité, c. 3.3; Jürg-Beat Ackermann, op. cit., n. 79 ad art. 49). c) 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La disposition précitée n'énonce pas de manière détaillée et exhaustive tous les éléments qui doivent être pris en considération, ni les conséquences exactes qu'il faut en tirer quant à la fixation de la peine. Elle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(Bovay/Dupuis/Monnier/Moreillon/Piguet, Procédure pénale vaudoise, Code annoté,</w:t>
      </w:r>
    </w:p>
    <w:p>
      <w:r>
        <w:rPr>
          <w:b/>
        </w:rPr>
        <w:t>E. 3</w:t>
      </w:r>
    </w:p>
    <w:p>
      <w:r>
        <w:t>En définitive, le recours doit être admis et le jugement du 23 mars 2009 du Tribunal correctionnel de l'arrondissement de Lausanne réformé dans le sens des considérants. Vu l'issue du recours, les frais de deuxième instance, y compris l'indemnité allouée au défenseur d'office de l'intimé par 220 fr.,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