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123 vom 15. April 2009</w:t>
      </w:r>
    </w:p>
    <w:p>
      <w:r>
        <w:t>VD Tribunal cantonal, 2009-04-15, FR</w:t>
      </w:r>
    </w:p>
    <w:p>
      <w:r>
        <w:rPr>
          <w:b/>
        </w:rPr>
        <w:t xml:space="preserve">Quelle: </w:t>
      </w:r>
      <w:r>
        <w:t>https://mcp.opencaselaw.ch/entscheid/vd_findinfo_AP___2009___123</w:t>
      </w:r>
    </w:p>
    <w:p>
      <w:r>
        <w:t>FR: VD_FINDINFO AP / 2009 / 123 du 15 avril 2009</w:t>
      </w:r>
    </w:p>
    <w:p>
      <w:r>
        <w:t>IT: VD_FINDINFO AP / 2009 / 123 del 15 aprile 2009</w:t>
      </w:r>
    </w:p>
    <w:p>
      <w:pPr>
        <w:pStyle w:val="Heading2"/>
      </w:pPr>
      <w:r>
        <w:t>Regeste</w:t>
      </w:r>
    </w:p>
    <w:p>
      <w:r>
        <w:t>AGGRAVATION DE LA PEINE, PEINE, PEINE PRIVATIVE DE LIBERTÉ, SURSIS PARTIEL À L'EXÉCUTION DE LA PEINE, SURSIS À L'EXÉCUTION DE LA PEINE, PRONOSTIC | 42 ch. 1 CP, 47 CP, 415 al. 3 CPP</w:t>
      </w:r>
    </w:p>
    <w:p>
      <w:pPr>
        <w:pStyle w:val="Heading2"/>
      </w:pPr>
      <w:r>
        <w:t>Erwägungen</w:t>
      </w:r>
    </w:p>
    <w:p>
      <w:r>
        <w:rPr>
          <w:b/>
        </w:rPr>
        <w:t>E. 1</w:t>
      </w:r>
    </w:p>
    <w:p>
      <w:r>
        <w:t>Le recours, déposé en temps utile, est recevable. Il est en réforme uniquement. En pareil cas, la cour de céans examine librement les questions de droit sans être limitée aux moyens que les parties invoquent (art. 447 al. 1 CPP [Code de procédure pénale du 12 septembre 1967; RSV 312.01]). Elle est cependant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w:t>
      </w:r>
    </w:p>
    <w:p>
      <w:r>
        <w:rPr>
          <w:b/>
        </w:rPr>
        <w:t>E. 2</w:t>
      </w:r>
    </w:p>
    <w:p>
      <w:r>
        <w:t>a) Le Ministère public considère que la peine est arbitrairement clémente. b) Selon l'art. 47 CP (Code pénal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au juge un large pouvoir d'appréciation, de sorte que la Cour de cassation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Bovay/Dupuis/Monnier/Moreillon/Piguet, Procédure pénale vaudoise, 3 ème éd., Bâle 2009, n. 1.4 ad art. 415 CPP; ATF 127 IV 101 c. 2c; ATF 122 IV 156 c. 3b; ATF 116 IV 288 c. 2b). c) En l'espèce, les premiers juges ont retenu que T.________ a fait l'objet de huit informations pénales. Ces enquêtes successives ainsi que le jugement rendu par le Tribunal de police de l'arrondissement de Lausanne le 30 août 2006 ne l'ont pas dissuadé de poursuivre des activités délictueuses. Au contraire, les actes commis en matière de circulation routière se sont révélés de plus en plus graves et nombreux. Comme le relève à juste titre le tribunal, l'intimé a été un danger persistant pour l'intégrité corporelle des tiers. A décharge, les premiers juges ont mentionné un casier judiciaire vierge, l'interruption spontanée de l'activité délictueuse depuis plus de 16 mois et une carence parentale. Ces éléments sont pertinents. Les éléments à décharge doivent toutefois être relativisés. L'intimé a en effet commencé à commettre des infractions routières pratiquement dès l'obtention de son permis de conduire. En outre, le fait qu'il n'ait plus commis d'infraction est un élément à prendre en considération dans le cadre de l'appréciation du sursis plutôt que de la peine. Enfin, le fait d'avoir été "trop gâté" par ses parents est un élément à décharge tout relatif. Il convient surtout de retenir la culpabilité écrasante de T.________ et le fait qu'il a commis plusieurs infractions graves à loi sur la circulation routière en concours. L'intimé était donc passible d'une peine privative de liberté de quatre ans et demi. Compte tenu du nombre et de l'extrême gravité des infractions commises, la cour de céans considère que la peine prononcée est excessivement clémente et doit être arrêtée à dix-huit mois, dans la mesure où, par chance, l'intimé n'a jamais causé d'accident.</w:t>
      </w:r>
    </w:p>
    <w:p>
      <w:r>
        <w:rPr>
          <w:b/>
        </w:rPr>
        <w:t>E. 3</w:t>
      </w:r>
    </w:p>
    <w:p>
      <w:r>
        <w:t>a) Le Ministère public est d'avis que le sursis aurait dû porter sur une partie de la peine et non sur son entier. b)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La nouvelle partie générale du Code pénal suisse, Kuhn, Moreillon, Viredaz et Bichovsky éd., Berne 2006, pp. 213 ss, spéc. p. 220). Le sursis est la règle dont on ne peut en principe s'écarter qu'en présence d'un pronostic défavorable. En cas d'incertitude, le sursis doit primer (ATF 134 IV 1 précité, c. 4.2.2 in fine ). c) Le jugement attaqué ne donne aucune information sur l'attitude de T.________ à l'audience, en particulier sur une éventuelle prise de conscience de ce dernier. Toutefois, une telle prise de conscience peut être perçue dans le fait que l'intimé n'a pas récidivé depuis 16 mois. Dans ces circonstances, si le pronostic ne peut pas être considéré comme favorable, il ne peut pas non plus être qualifié de défavorable. Sur ce point, le recours du Ministère public doit être rejeté. Au surplus, une peine privative de liberté relativement lourde, assortie d'un sursis de longue durée, devrait être suffisante à dissuader l'intimé de commettre de nouvelles infractions.</w:t>
      </w:r>
    </w:p>
    <w:p>
      <w:r>
        <w:rPr>
          <w:b/>
        </w:rPr>
        <w:t>E. 4</w:t>
      </w:r>
    </w:p>
    <w:p>
      <w:r>
        <w:t>En conséquence, le recours doit être partiellement admis et le jugement réformé en ce sens que la peine privative de liberté est portée à dix-huit mois. Les frais de deuxième instance seront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