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116 vom 14. Oktober 2008</w:t>
      </w:r>
    </w:p>
    <w:p>
      <w:r>
        <w:t>VD Tribunal cantonal, 2008-10-14, FR</w:t>
      </w:r>
    </w:p>
    <w:p>
      <w:r>
        <w:rPr>
          <w:b/>
        </w:rPr>
        <w:t xml:space="preserve">Quelle: </w:t>
      </w:r>
      <w:r>
        <w:t>https://mcp.opencaselaw.ch/entscheid/vd_findinfo_AP___2009___116</w:t>
      </w:r>
    </w:p>
    <w:p>
      <w:r>
        <w:t>FR: VD_FINDINFO AP / 2009 / 116 du 14 octobre 2008</w:t>
      </w:r>
    </w:p>
    <w:p>
      <w:r>
        <w:t>IT: VD_FINDINFO AP / 2009 / 116 del 14 ottobre 2008</w:t>
      </w:r>
    </w:p>
    <w:p>
      <w:pPr>
        <w:pStyle w:val="Heading2"/>
      </w:pPr>
      <w:r>
        <w:t>Regeste</w:t>
      </w:r>
    </w:p>
    <w:p>
      <w:r>
        <w:t>DROIT DE REPRÉSENTATION, REPRÉSENTATION, PRINCIPE DE LA TRANSPARENCE{SOCIÉTÉ}, UNITÉ ÉCONOMIQUE, SOLIDARITÉ | 143 CO, 32 al. 1 CO, 32 al. 2 CO</w:t>
      </w:r>
    </w:p>
    <w:p>
      <w:pPr>
        <w:pStyle w:val="Heading2"/>
      </w:pPr>
      <w:r>
        <w:t>Erwägungen</w:t>
      </w:r>
    </w:p>
    <w:p>
      <w:r>
        <w:rPr>
          <w:b/>
        </w:rPr>
        <w:t>E. 1</w:t>
      </w:r>
    </w:p>
    <w:p>
      <w:r>
        <w:t>Le président a statué comme juge unique dans une cause pécuniaire de sa compétence à raison de la valeur litigieuse (art. 96d al. 2 LOJV) dans les formes de la procédure accélérée (art. 336 let. a CPC). La voie du recours en nullité (art. 444 et 445 CPC) et du recours en réforme (art. 451 ch. 3 CPC) est ouverte.</w:t>
      </w:r>
    </w:p>
    <w:p>
      <w:r>
        <w:rPr>
          <w:b/>
        </w:rPr>
        <w:t>E. 2</w:t>
      </w:r>
    </w:p>
    <w:p>
      <w:r>
        <w:t>Le recourant fonde sa conclusion en nullité sur l'appréciation arbitraire des preuves par le premier juge (mémoire p. 11). Ce moyen peut être examiné dans le cadre du recours en réforme, compte tenu du pouvoir d'examen de la Chambre des recours en la matière. Le grief est donc irrecevable en nullité.</w:t>
      </w:r>
    </w:p>
    <w:p>
      <w:r>
        <w:rPr>
          <w:b/>
        </w:rPr>
        <w:t>E. 3</w:t>
      </w:r>
    </w:p>
    <w:p>
      <w:r>
        <w:t>Le recourant soutient qu'il n'était pas partie au contrat passé avec l'intimée; selon lui, celle-ci a travaillé au service d'une société à responsabilité limitée. Le premier juge a considéré que les parties étaient liées par un contrat de mandat (jgt p. 11 c. 3). On peut se demander si leur convention ne relevait pas du contrat de travail. Peu importe dès lors que la question à trancher ici est de savoir quelles sont les parties liées conventionnellement.</w:t>
      </w:r>
    </w:p>
    <w:p>
      <w:r>
        <w:rPr>
          <w:b/>
        </w:rPr>
        <w:t>E. 4</w:t>
      </w:r>
    </w:p>
    <w:p>
      <w:r>
        <w:t>a) L'art.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et s'il a la volonté d'agir comme tel (ATF 126 III 59 c. 1b).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4C.296/1995 du 26 mars 1996, publié in SJ 1996 p. 554 ss, c. 5b et les auteurs cités). Demeure réservée l'hypothèse, visée à l'art. 32 al. 2 in fine CO, de l'indifférence du tiers en matière de représentation; en pareille hypothèse, le représentant doit avoir eu la volonté d'agir comme tel (ATF 117 II 387 c. 2a et les références; arrêt 4P.109/2004 du 11 janvier 2005 c. 5.2.2.1). Il en découle que la volonté interne du représentant d'agir comme tel n'est en principe pas déterminante. Il faut examiner si l'intimée pouvait déduire du comportement du recourant, interprété selon le principe de la confiance, que ce dernier agissait non pas pour lui-même mais pour un tiers. b) Le recourant se prévaut de ce qu'il représentait directement la société faillie. Il se fonde sur le fait qu'il était associé gérant de la Sàrl et qu'il a engagé l'intimée en cette qualité pour lui confier des travaux de comptabilité et de secrétariat. L'intimée devait se rendre compte qu'il agissait au nom et pour le compte de la Sàrl, d'autant plus qu'elle a effectué des tâches uniquement pour cette dernière société. Le recourant rappelle que tous les courriels et factures de l'intimée ont été adressés à la Sàrl, soit à son adresse chez le recourant, et que ces documents concernaient l'activité de cette société. Enfin, l'intimée a été invitée à produire ses créances dans la faillite de la Sàrl, ce qu'elle a apparemment refusé de faire. L'intimée fait valoir que le recourant n'aurait pas représenté directement la société faillie. Elle s'appuie sur le fait que le recourant lui a commandé personnellement les travaux de secrétariat et de comptabilité, qu'il s'est toujours présenté à elle en son nom personnel et a entretenu une certaine confusion quant à l'identité du mandant, spécialement en utilisant les adresses e-mail de plusieurs entités dont il s'occupait. L'intimée n'a jamais été en mesure de déduire des circonstances l'existence d'un rapport de représentation entre le recourant et la Sàrl, mais ne pouvait que comprendre, selon le principe de la confiance, que le recourant agissait en son nom personnel. De plus, il n'était pas indifférent à l'intimée de traiter avec le recourant plutôt qu'avec la Sàrl, la pérennité de cette dernière n'étant pas assurée vu sa constitution récente. Selon elle, il n'y a pas davantage de représentation indirecte, le recourant n'ayant pas rapporté la preuve du transfert ultérieur des effets juridiques du mandat conclu entre parties à la Sàrl. c) En l'espèce, la recourante a adressé sept factures pour ses travaux pour les mois de juin 2005 à janvier 2006 à " OX S.________ Sàrl - Monsieur E.________", ainsi qu'un relevé récapitulatif à la même adresse (pièces 3 à 10). Elle a ensuite adressé un courriel du 6 mars 2006 à "OXSW Sàrl (ch. E.________@ [...].com) au sujet de ces mêmes factures, avec une rubrique "Contacts : OXSW Sàrl" (pièce 11). Un courriel envoyé le 13 juin 2006 par l'intimée à E.________ porte la mention : "Contacts : OXSW Sàrl" (pièce 12). Un autre courriel expédié le 7 septembre 2006 par l'intimée à une adresse Internet de E.________ a pour objet : "Classeurs OX S.________ Sàrl" (pièce 13). Le sigle OXSW Sàrl correspond à OX S.________ Sàrl. L'intimée ne pouvait l'ignorer puisqu'elle mentionne dans un courriel du 22 décembre 2005 adressé à "OXSW Sàrl" qu'il fallait dévier des appels téléphoniques pour pouvoir répondre au nom de "OX S.________ Sàrl" (pièce 101). D'autres courriels expédiés en 2005 par l'intimée à OXSW Sàrl ont trait à divers problèmes comptables (bilan; factures; salaires; pièces de caisse) ou à des contrats (pièces 102 à 107). Même si la raison sociale de OX S.________ Sàrl n'a pas été entièrement reproduite, ses éléments distinctifs figuraient dans tous les courriels adressés par l'intimée, qui ne pouvait ignorer la signification du sigle de la société, d'autant qu'elle s'occupait notamment de sa comptabilité. Cela parle dans le sens d'une relation contractuelle entre l'intimée et la société à responsabilité limitée. On ne voit pas en quoi les différentes adresses e-mail du défendeur (pièces 11 à 13) auraient pu entretenir la confusion dans l'esprit de l'intimée. Celle-ci précisait que l'objet de ses courriels concernait OXSW Sàrl (cf. pièces 11 et 12). L'intimée n'a produit aucun élément permettant, selon le principe de la confiance, d'admettre que le recourant l'aurait fait travailler à son profit exclusif. A cela s'ajoute que les virements bancaires en faveur de l'intimée l'ont été depuis le compte bancaire de la Sàrl. Par ailleurs, l'e-mail envoyé le 6 mars 2006 par l'intimée (pièce 11), où elle interpelle le recourant en lui demandant de trouver des liquidités et de l'informer de l'identité de la personne qui allait la payer, quand et combien, tend plutôt à démontrer qu'il lui était indifférent de traiter avec le recourant ou avec sa société, pourvu qu'elle reçoive le paiement de ses honoraires. Enfin, le relevé des "factures ouvertes" (pièce 10 faussement datée du 8 février 2007, alors qu'il s'agit en fait du 8 février 2006 : cf. jugement p. 4) a été sans équivoque adressé par l'intimée à OXSW Sàrl. Entre le moment de ce relevé et la notification du commandement de payer en août 2006, il semble que la situation financière de la Sàrl s'est aggravée, puisque le 7 septembre 2006 (pièce 13), le recourant voulait récupérer les classeurs de la société qui se trouvaient chez l'intimée ainsi que les factures de cette dernière pour les soumettre "au juge", ce qui expliquerait pourquoi l'intimée s'en est prise au recourant personnellement plutôt qu'à la Sàrl. Le recourant n'est dès lors pas légitimé passivement. Le recours doit donc être admis.</w:t>
      </w:r>
    </w:p>
    <w:p>
      <w:r>
        <w:rPr>
          <w:b/>
        </w:rPr>
        <w:t>E. 5</w:t>
      </w:r>
    </w:p>
    <w:p>
      <w:r>
        <w:t>La solidarité conventionnelle, au sens de l'art. 143 al. 1 CO, suppose en principe que les codébiteurs solidaires adressent au créancier une déclaration dans ce sens. La volonté de s'engager solidairement peut aussi s'exprimer par actes concluants, lorsqu'elle résulte indiscutablement du contexte; pour dire si tel est le cas, il faut interpréter les circonstances selon le principe de la confiance (arrêt 4P.109/2004 du 11 janvier 2005 c. 5.3; arrêt 4C.322/2000 du 24 janvier 2001, c. 2d; ATF 116 II 707 c. 3; 49 III 205 c. 4). En l'espèce, aucun élément de fait ne permet d'admettre que le recourant aurait eu un comportement permettant à l'intimée, selon le principe de la confiance, de croire que celui-ci se serait engagé solidairement aux côtés de la société dont il était associé gérant. Le contexte dans lequel les relations contractuelles se sont déroulées ne le permet pas davantage.</w:t>
      </w:r>
    </w:p>
    <w:p>
      <w:r>
        <w:rPr>
          <w:b/>
        </w:rPr>
        <w:t>E. 6</w:t>
      </w:r>
    </w:p>
    <w:p>
      <w:r>
        <w:t>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alors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(ATF 121 III 319 c. 5a/aa et références; ATF 110 II 360, c. 2a et références, JT 1985 I 130; TF 4C.15/2004 du 12 mai 2004, c. 5.2; Montavon, Droit suisse de la Sàrl, Lausanne 2008, pp. 397/398). En l'espèce, selon l'extrait du registre du commerce relatif à OX S.________ Sàrl, le recourant était associé avec [...]-Europe [...], à Madrid; OX S.________ Sàrl avait un autre gérant, avec signature individuelle. Il n'apparaît pas y avoir de confusion de patrimoine ou de dépendance totale de la Sàrl vis-à-vis de son associé gérant. L'intimée ne peut donc s'en prendre directement à ce dernier en se fondant sur un abus que commettrait le recourant en invoquant la dualité des sujets de droit.</w:t>
      </w:r>
    </w:p>
    <w:p>
      <w:r>
        <w:rPr>
          <w:b/>
        </w:rPr>
        <w:t>E. 7</w:t>
      </w:r>
    </w:p>
    <w:p>
      <w:r>
        <w:t>En définitive, le recours doit être admis et le jugement réformé aux chiffres I et III de son dispositif en ce sens que les conclusions de la demanderesse sont rejetées (I) et que celle-ci doit verser au défendeur la somme de 1'600 fr. à titre de dépens (III). Le jugement est confirmé pour le surplus. Les frais de deuxième instance du recourant sont arrêtés à 405 fr. L'intimée doit verser au recourant la somme de 1'405 fr. à titre de dépens de deuxième instance. Par ces motifs, la Chambre des recours du Tribunal cantonal, statuant en audience publique, prononce : I. Le recours est admis. II. Le jugement est réformé aux chiffres I et III de son dispositif comme il suit : I.          Rejette les conclusions de la demanderesse T.________. III.        Dit que la demanderesse doit verser au défendeur la somme de 1'600 fr. (mille six cents francs) à titre de dépens. Le jugement est confirmé pour le surplus. III. Les frais de deuxième instance du recourant sont arrêtés à 405 fr. (quatre cent cinq francs). IV. L'intimée T.________ doit verser au recourant E.________ la somme de 1'405 fr. (mille quatre cent cinq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Me Robert Fox (pour E.________), ‑      Me Patricia Michellod (pour T.________). La Chambre des recours considère que la valeur litigieuse est de 10'580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