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 vom 18. November 2008</w:t>
      </w:r>
    </w:p>
    <w:p>
      <w:r>
        <w:t>VD Tribunal cantonal, 2008-11-18, FR</w:t>
      </w:r>
    </w:p>
    <w:p>
      <w:r>
        <w:rPr>
          <w:b/>
        </w:rPr>
        <w:t xml:space="preserve">Quelle: </w:t>
      </w:r>
      <w:r>
        <w:t>https://mcp.opencaselaw.ch/entscheid/vd_findinfo_AP___2009___11</w:t>
      </w:r>
    </w:p>
    <w:p>
      <w:r>
        <w:t>FR: VD_FINDINFO AP / 2009 / 11 du 18 novembre 2008</w:t>
      </w:r>
    </w:p>
    <w:p>
      <w:r>
        <w:t>IT: VD_FINDINFO AP / 2009 / 11 del 18 novembre 2008</w:t>
      </w:r>
    </w:p>
    <w:p>
      <w:pPr>
        <w:pStyle w:val="Heading2"/>
      </w:pPr>
      <w:r>
        <w:t>Regeste</w:t>
      </w:r>
    </w:p>
    <w:p>
      <w:r>
        <w:t>IN DUBIO PRO REO, APPRÉCIATION DES PREUVES, INTERDICTION DE L'ARBITRAIRE, ACCIDENT DE LA CIRCULATION, DOUTE | 411 let. i CPP, 34 al. 3 LCR, 35 al. 3 LCR</w:t>
      </w:r>
    </w:p>
    <w:p>
      <w:pPr>
        <w:pStyle w:val="Heading2"/>
      </w:pPr>
      <w:r>
        <w:t>Erwägungen</w:t>
      </w:r>
    </w:p>
    <w:p>
      <w:r>
        <w:rPr>
          <w:b/>
        </w:rPr>
        <w:t>E. 1</w:t>
      </w:r>
    </w:p>
    <w:p>
      <w:r>
        <w:t>Invoquant l'art. 411 let. h et i CPP, et plus particulièrement le principe in dubio pro reo , le recourant critique principalement le fait que le premier juge a retenu d'abord qu'au moment où il a lui-même entrepris sa manœuvre de dépassement, le motocycliste qui était derrière était déjà en position de dépassement, et ensuite, qu'il aurait mal apprécié la situation.</w:t>
      </w:r>
    </w:p>
    <w:p>
      <w:r>
        <w:rPr>
          <w:b/>
        </w:rPr>
        <w:t>E. 2</w:t>
      </w:r>
    </w:p>
    <w:p>
      <w:r>
        <w:t>a)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Bovay/Dupuis/Monnier/Moreillon/Piguet,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 Bovay/Dupuis/Monnier/Moreillon/Piguet , op. cit., n. 8.1 ad art. 411 CPP; Cass., A., 19 septembre 2000, n. 504; Cass., V., 14 septembre 2000, n. 494; JT 1999 III 83, c. 6b; Besse‑Matile/Abravanel, op. cit., p. 103).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op.cit, p. 80; Bovay/Dupuis/Monnier/Moreillon/Piguet ,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 Bovay/Dupuis/Monnier/Moreillon/Piguet , op. cit., n. 10.4 et 11.5 ad art. 411 CPP).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 Bovay/Dupuis/Monnier/Moreillon/Piguet , op. cit., n. 10.12 ad art. 411 CPP et les réf. cit.; Bersier, op. cit., p. 82; Besse-Matile/Abravanel, op. cit., p. 105).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convient de préciser qu'un léger doute, un doute théorique ou encore abstrait ne suffit pas à entraîner l'annulation du jugement. Seul un doute concret, d'une certaine consistance, en d'autres termes un doute raisonnable, peut conduire à cette sanction ( Bovay/Dupuis/Monnier/Moreillon/Piguet , op. cit., n. 11.1 ad art. 411 CPP; Bersier, op. cit., p. 83). Tel n'est pas le cas lorsque le premier juge n'a méconnu aucun des éléments de l'instruction et que, pour fixer le point litigieux, on ne peut que s'en référer à son appréciation (JT 2003 III 70, c. 2a; Bovay/Dupuis/Monnier/Moreillon/Piguet ,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c) Dans son mémoire, le recourant rappelle les faits retenus dans le jugement attaqué, ceux qui ne l'ont pas été et ceux qui auraient dû l'être, notamment sur la base des déclarations des témoins et de l'expert à l'audience. Comme on l'a vu, l a cour de céans ne peut toutefois pas retenir ce qui s'est passé à l'audience, hormis les déclarations qui ont été consignées le cas échéant au procès-verbal, soit en l'occurrence, ce qui figure aux pages 6 et 7 du jugement attaqué. On s'attachera dès lors uniquement aux développements du recourant qui tendent à montrer que l'appréciation des preuves du premier juge a été arbitraire, notamment en ce qu'il aurait exclu implicitement ou non tout doute sur les faits retenus et qu'il aurait fait une mauvaise application du principe in dubio pro reo .</w:t>
      </w:r>
    </w:p>
    <w:p>
      <w:r>
        <w:rPr>
          <w:b/>
        </w:rPr>
        <w:t>E. 3</w:t>
      </w:r>
    </w:p>
    <w:p>
      <w:r>
        <w:t>a) Le principe in dubio pro reo ne figure expressis verbis dans aucune disposition de notre ordre juridique (Corboz, In dubio pro reo, in RJB 1993, pp. 403 ss, spéc. p. 404), mais découle de la présomption d'innocence (Corboz, op. cit., p. 405), garantie par l'art. 6 par. 2 CEDH et figurant également expressément à l'art. 32 al. 1 er de la Constitution fédérale.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A., 9 août 2000, c. 2a, ad Cass., 27 octobre 1999, n° 447; Cass., N., 30 mai 2000, n° 395; Cass., D.,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Cass., N.,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(Bovay/Dupuis/Monnier/Moreillon/Piguet,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Bersier, op. cit., p. 84; Arzt, In dubio pro reo vor Bundesgericht, in RJB 1993, pp. 1 ss, spéc. p. 21, n. 5). b) aa) Dans son mémoire, le recourant analyse séparément divers indices résultant du dossier ou du jugement pour estimer qu'il y a doute à leur propos et finalement pour en déduire que chaque fait critiqué est douteux. Il ne met cependant pas en cause le raisonnement du premier juge en lui-même. Par là, il inverse la démarche relative à l'application du principe in dubio pro reo - qu'il a pourtant rappelé correctement dans son mémoire - et propose sa propre vision des choses. Dès lors, il y a lieu de n'examiner les arguments du recourant qu'en tant qu'ils visent à démontrer que la démarche du premier juge est arbitraire. bb) Le jugement indique se fonder sur les déclarations du recourant lui-même tant devant la gendarmerie que devant le juge d'instruction selon lesquelles H.________ "avait aperçu le motard qui déboîtait derrière lui au moment où lui-même n'en était qu'au tout début de sa propre manœuvre de dépassement" (cf. jugement, p. 16). Du moment que le premier juge fait référence aux auditions figurant au dossier, la cour de céans peut également s'y référer. Elle constate à cet égard que les propos du recourant ne correspondent pas tout à fait avec ceux repris dans le jugement. Devant la gendarmerie, le recourant a en effet déclaré qu'il avait regardé dans son rétroviseur gauche, indiqué son intention avec l'enclenchement de son indicateur gauche, à nouveau regardé dans son rétroviseur gauche tout en effectuant sa manœuvre et qu'à ce moment-ci, alors qu'il était déjà sur la moitié de la voie inverse, il a remarqué un motard qui effectuait la même manœuvre que lui pour dépasser le véhicule qui le suivait (cf. PV aud. 1, question 2). Il a précisé qu'après avoir regardé une deuxième fois dans son rétroviseur gauche, il a effectué sa manœuvre de dépassement et que quasiment simultanément, il a aperçu un motard qui déboîtait également (cf. PV aud. 1, réponse 2). Devant le juge d'instruction, il a répété qu'il avait déboîté en même temps que le motard qui voulait dépasser la voiture rouge et qu'il l'a aperçu alors que sa voiture empiétait partiellement sur la voie inverse (cf. PV aud. 2, p. 1). Avec ces précisions, la cour de céans retiendra, à l'instar du premier juge, que le recourant a vu le motard au moment où il a déboîté et alors qu'il était déjà en partie sur la voie de gauche. Aucun élément contraire ne permet de mettre en doute la version du recourant. D'ailleurs, le jugement mentionne que les témoins O.________ et I.________ avaient perçu que les deux protagonistes avaient déboîté en même temps (cf. jugement, p. 11, 12 et 15) et que le motocycliste n'était pas dans la colonne au départ de son dépassement, mais, vu sa vitesse, a surgi de l'arrière (cf. jugement, p. 15). Cela ne figure certes pas expressément dans le jugement, mais il s'agit de la conclusion nécessaire du raisonnement du premier juge au dernier paragraphe du considérant 5. Enfin, il est établi que le motocycle et la voiture ont roulé côte à côte pendant une quarantaine de mètres; quant à la vitesse du motard, elle a été estimée entre 108 et 124 km/h au moment du freinage. cc) Au vu de ces éléments de fait, le raisonnement du premier juge prête le flanc à la critique. On peut certes admettre que voir un motocycliste dépasser à l'arrière au moment où où l'on débute soi-même une manœuvre de dépassement peut impliquer que l'on réintègre la voie de droite. Encore faut-il que cette manœuvre de repli soit imposée par la distance entre les deux véhicules dépassants, leurs vitesses respectives et la circulation. En l'espèce, le premier juge a considéré, en se référant à la distance donnée par le recourant (40 à 50 mètres), largement supérieure à celle donnée par l'expert (18 mètres au minimum), que le recourant ne pouvait faire valoir un effet de surprise et qu'il aurait dû surveiller mieux la vitesse de rapprochement du motard au lieu de se concentrer sur son propre dépassement (cf. jugement, p. 17). La vitesse maximum du motard dégagée par l'expert, soit 124 km/h, correspond à 34,44 m/s. Or, si le motocycliste aborde son dépassement depuis l'arrière à une vitesse de cet ordre, il lui faut entre une demi-seconde (0,52 sec.) s'il est à 18 mètres au minimum (selon l'expert) et une seconde et demie (1,45 sec.) pour 50 mètres au maximum (selon le recourant) pour se retrouver à peu près à la hauteur du véhicule du recourant. En fonction du paramètre choisi, le temps de réaction (on compte une seconde en général pour un freinage) n'est pas suffisant pour réintégrer la voie de droite, ce d'autant plus que l'on ne peut pas exiger d'un conducteur qu'il porte une attention constante sur son rétroviseur. On peut certes considérer que, dans le cas présent, le recourant n'a pas même tenté de réintégrer sa droite. L'aurait-il pu, en dépassant lui-même, qu'il sied de préciser que le conducteur qui voit un autre véhicule dépasser un véhicule à l'arrière en même temps que lui, alors qu'il n'y en avait pas au moment où il a pris la décision d'entamer sa manœuvre, peut escompter que les deux dépassements seront concomitants, en d'autre termes, que le véhicule dépassant à l'arrière n'a pas l'intention de forcer le passage à sa hauteur et partant de commettre une faute de circulation (cf. art. 11 al. 2 let. a et b OCR). Il découle de ce qui précède qu'il n'est pas exclu que l'accident soit en relation de causalité exclusive avec la vitesse du motocycliste et à sa façon d'aborder la colonne à une vitesse déjà supérieure à celle-ci. Dès lors, il subsiste un doute quant à la possibilité pour le recourant de réagir à temps. Sur ce point, le raisonnement du premier juge est entaché d'arbitraire. III. En définitive, le recours est admis et le jugement réformé en ce sens que H.________ est libéré de l'accusation de lésions corporelles graves par négligence et que sa part des frais de justice de première instance est laissée à la charge de l'Etat. Vu l'issue du recours, les frais de deuxième instance seront également laissés à la charge de l'État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