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AM 52/09 - 30/2012 vom 30. März 2012</w:t>
      </w:r>
    </w:p>
    <w:p>
      <w:r>
        <w:t>VD Tribunal cantonal, 2012-03-30, FR</w:t>
      </w:r>
    </w:p>
    <w:p>
      <w:r>
        <w:rPr>
          <w:b/>
        </w:rPr>
        <w:t xml:space="preserve">Quelle: </w:t>
      </w:r>
      <w:r>
        <w:t>https://mcp.opencaselaw.ch/entscheid/vd_findinfo_AM_52_09_-_30_2012</w:t>
      </w:r>
    </w:p>
    <w:p>
      <w:r>
        <w:t>FR: VD_FINDINFO AM 52/09 - 30/2012 du 30 mars 2012</w:t>
      </w:r>
    </w:p>
    <w:p>
      <w:r>
        <w:t>IT: VD_FINDINFO AM 52/09 - 30/2012 del 30 marzo 2012</w:t>
      </w:r>
    </w:p>
    <w:p>
      <w:pPr>
        <w:pStyle w:val="Heading2"/>
      </w:pPr>
      <w:r>
        <w:t>Regeste</w:t>
      </w:r>
    </w:p>
    <w:p>
      <w:r>
        <w:t>INDEMNITÉ JOURNALIÈRE, PERTE DE GAIN, CHÔMAGE, MALADIE, INCAPACITÉ DE TRAVAIL | 72 al. 2 LAMal, 73 LAMal, 6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procédure étant gratuite (art. 61 let. a LPGA), il n’y a pas lieu de percevoir de frais de justice. Le recours étant très partiellement admis, le recourant a droit à des dépens réduits (art. 61 let. g LPGA et art. 55 LPA-VD [loi vaudoise du 28 octobre 2008 sur la procédure administrative, RSV 173.36]), qu’il convient d’arrêter à 500 fr., à la charge de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