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AM 4/17 ap. TF - 20/2017 vom 19. Mai 2017</w:t>
      </w:r>
    </w:p>
    <w:p>
      <w:r>
        <w:t>VD Tribunal cantonal, 2017-05-19, FR</w:t>
      </w:r>
    </w:p>
    <w:p>
      <w:r>
        <w:rPr>
          <w:b/>
        </w:rPr>
        <w:t xml:space="preserve">Quelle: </w:t>
      </w:r>
      <w:r>
        <w:t>https://mcp.opencaselaw.ch/entscheid/vd_findinfo_AM_4_17_ap._TF_-_20_2017</w:t>
      </w:r>
    </w:p>
    <w:p>
      <w:r>
        <w:t>FR: VD_FINDINFO AM 4/17 ap. TF - 20/2017 du 19 mai 2017</w:t>
      </w:r>
    </w:p>
    <w:p>
      <w:r>
        <w:t>IT: VD_FINDINFO AM 4/17 ap. TF - 20/2017 del 19 maggio 2017</w:t>
      </w:r>
    </w:p>
    <w:p>
      <w:pPr>
        <w:pStyle w:val="Heading2"/>
      </w:pPr>
      <w:r>
        <w:t>Regeste</w:t>
      </w:r>
    </w:p>
    <w:p>
      <w:r>
        <w:t>HOSPITALISATION EXTRA-CANTONALE | 26 LAMal, 41 al. 1bis LAMal, 26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ce qui précède, les conclusions des recourantes sont admises en ce sens que l’Etat de Vaud sera condamné au paiement des montants demandés en capital, avec intérêt à 5 % l’an dès le 21 mars 2014. Les recourantes peuvent prétendre une indemnité de dépens pour les procédures ayant mené à l’arrêt du 7 juin 2016 (AM 8/16, 9/16, 10/16 – 28/2016) ainsi qu’au présent arrêt. Dès lors qu’elles obtiennent pour l’essentiel gain de cause, hormis sur leurs conclusions en constatation de droit, il n’y a pas lieu de réduire cette indemnité, qui peut être fixée à 4000 fr. (TVA comprise ; cf. art. 55 al. 1 LPA-VD, art. 11 al. 2 et 3 TFJDA [tarif du 28 avril 2015 des frais judiciaires et des dépens en matière administrative [RSV 173.36.5.1]). Cette indemnité tient compte du fait que les recourantes ont déjà obtenu des dépens dans les procédures AM 15/14, 16/14 et 17/14, ainsi que devant le Tribunal fédéral, en présentant une argumentation similaire dans une large mesure. Il n’y a pas lieu de percevoir des frais de justice à la charge de l’Etat de Vaud (art. 52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