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32/12 - 55/2012 vom 20. November 2012</w:t>
      </w:r>
    </w:p>
    <w:p>
      <w:r>
        <w:t>VD Tribunal cantonal, 2012-11-20, FR</w:t>
      </w:r>
    </w:p>
    <w:p>
      <w:r>
        <w:rPr>
          <w:b/>
        </w:rPr>
        <w:t xml:space="preserve">Quelle: </w:t>
      </w:r>
      <w:r>
        <w:t>https://mcp.opencaselaw.ch/entscheid/vd_findinfo_AM_32_12_-_55_2012</w:t>
      </w:r>
    </w:p>
    <w:p>
      <w:r>
        <w:t>FR: VD_FINDINFO AM 32/12 - 55/2012 du 20 novembre 2012</w:t>
      </w:r>
    </w:p>
    <w:p>
      <w:r>
        <w:t>IT: VD_FINDINFO AM 32/12 - 55/2012 del 20 novembre 2012</w:t>
      </w:r>
    </w:p>
    <w:p>
      <w:pPr>
        <w:pStyle w:val="Heading2"/>
      </w:pPr>
      <w:r>
        <w:t>Regeste</w:t>
      </w:r>
    </w:p>
    <w:p>
      <w:r>
        <w:t>ASSURANCE-MALADIE ET ACCIDENTS, STÉRILITÉ, FRAIS DE TRAITEMENT, NÉCESSITÉ D'UN TRAITEMENT, CARACTÈRE SCIENTIFIQUEMENT RECONNU, SOINS MÉDICAUX, ÉCONOMIE DU TRAITEMENT | 25 al. 1 LAMal, 25 al. 2 let. a LAMal, 25 LAMal, 32 LAMal, 33 LAMal</w:t>
      </w:r>
    </w:p>
    <w:p>
      <w:pPr>
        <w:pStyle w:val="Heading2"/>
      </w:pPr>
      <w:r>
        <w:t>Erwägungen</w:t>
      </w:r>
    </w:p>
    <w:p>
      <w:r>
        <w:rPr>
          <w:b/>
        </w:rPr>
        <w:t>E. 25</w:t>
      </w:r>
    </w:p>
    <w:p>
      <w:r>
        <w:t>al. 1 LAMal. L'intimée n'a donc pas l'obligation de prendre en charge ce traitement au titre de l'assurance maladie obligatoire. La décision attaquée est ainsi justifiée pour ce premier motif. g) L’annexe 1 à l’OPAS précise en son chiffre 3, relatif à la gynécologie et à l’obstétrique, que l’insémination artificielle est prise en charge à raison de trois cycles de traitement par grossesse au maximum. En revanche, la fécondation in vitro en vue de déterminer une éventuelle stérilité comme la fécondation in vitro et le transfert d’embryon (FIVETE) ne le sont pas. L’annexe 1 à l’OPAS  ne mentionnant pas d’autre traitement de la stérilité pour le surplus, on doit en déduire que le traitement litigieux n’a pas été soumis  l’avis de la Commission des prestations. Il convient donc de déterminer si le traitement litigieux répond aux présomptions légales de l’efficacité ainsi que de son caractère approprié et économique. En l’occurrence, le traitement contre la stérilité suivi par la recourante ne satisfait pas non plus au critère d'efficacité posé par l’article 32 al. 1 LAMal, puisque les statistiques médicales démontrent qu'à partir de l'âge de 40 ans, la fertilité est fortement diminuée chez la femme. La décision attaquée est ainsi justifiée pour ce second motif. Cela étant, en l'absence de données relatives à l'âge, au taux de réussite du traitement et au coût de celui-ci, le point de savoir si le critère de l'économie est réalisé peut quoi qu'il en soit être laissé indécis. 3.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prononce : I. Le recours est rejeté. II. La décision sur opposition rendue le 23 juillet 2012 par Assurance ________ SA est confirmée. III. Il n'est pas perçu de frais de justice ni alloué de dépens. Le juge unique :               Le greffier : Du L'arrêt qui précède est notifié à : ‑ Mme R.________, ‑ Assurance ________ SA, - Office fédéral de sa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