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29/04 - 21/2009 vom 24. September 2009</w:t>
      </w:r>
    </w:p>
    <w:p>
      <w:r>
        <w:t>VD Tribunal cantonal, 2009-09-24, FR</w:t>
      </w:r>
    </w:p>
    <w:p>
      <w:r>
        <w:rPr>
          <w:b/>
        </w:rPr>
        <w:t xml:space="preserve">Quelle: </w:t>
      </w:r>
      <w:r>
        <w:t>https://mcp.opencaselaw.ch/entscheid/vd_findinfo_AMC_29_04_-_21_2009</w:t>
      </w:r>
    </w:p>
    <w:p>
      <w:r>
        <w:t>FR: VD_FINDINFO AMC 29/04 - 21/2009 du 24 septembre 2009</w:t>
      </w:r>
    </w:p>
    <w:p>
      <w:r>
        <w:t>IT: VD_FINDINFO AMC 29/04 - 21/2009 del 24 settembre 2009</w:t>
      </w:r>
    </w:p>
    <w:p>
      <w:pPr>
        <w:pStyle w:val="Heading2"/>
      </w:pPr>
      <w:r>
        <w:t>Regeste</w:t>
      </w:r>
    </w:p>
    <w:p>
      <w:r>
        <w:t>LOI FÉDÉRALE SUR LE CONTRAT D'ASSURANCE, VIOLATION DE L'OBLIGATION D'ANNONCER, PRESCRIPTION | 1 DTAs-AM, 33 LCA, 40 LCA, 46 LCA, 106 LPA-VD</w:t>
      </w:r>
    </w:p>
    <w:p>
      <w:pPr>
        <w:pStyle w:val="Heading2"/>
      </w:pPr>
      <w:r>
        <w:t>Erwägungen</w:t>
      </w:r>
    </w:p>
    <w:p>
      <w:r>
        <w:rPr>
          <w:b/>
        </w:rPr>
        <w:t>E. 10</w:t>
      </w:r>
    </w:p>
    <w:p>
      <w:r>
        <w:t>décembre 1907, RS 210), et si la loi ne prévoit pas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Elle vaut aussi dans le domaine du contrat d'assurance (cons. 3.1). En vertu de la règle générale précitée, la personne titulaire de la prétention - généralement le preneur d'assurance, le tiers assuré ou le bénéficiaire - doit prouver les faits propres à la "justification des prétentions" (selon la terminologie du titre marginal de l'article 39 LCA), soit notamment l'existence d'un contrat d'assurance, la survenance du cas assuré, ainsi que l'étendue du dommage. L'assureur supporte la charge d'établir les faits de nature à justifier une diminution ou une suppression de l'obligation contractuelle (par exemple du fait d'un sinistre fautif : art. 14 LCA), ou à le libérer du contrat à l'égard du demandeur (par exemple du fait d'une prétention frauduleuse: art. 40 LCA) (cons. 3.1).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Certes, le tribunal appréciera aussi les indices invoqués par une partie à la lumière des preuves à la charge de l'autre partie. De l'échec de la preuve à la charge de l'une (par exemple celle d'un sinistre intentionnel), on ne peut cependant pas tirer de conclusion relative à la preuve à la charge de l'autre (par exemple celle de la réalisation du cas d'assurance). Cela équivaudrait à renverser le fardeau de la preuve et constituerait une violation de l'article 8 CC (cons. 3.1). S'agissant de la survenance du cas d'assurance, la jurisprudence précitée considère que l'on se trouve en règle générale dans une situation d'état de nécessité justifiant une réduction des exigences en matière de preuve. Le degré de preuve requis, s'agissant de la survenance du sinistre, se limite à la vraisemblance prépondérante (cons. 3.2). La preuve par vraisemblance prépondérante doit être distinguée de la simple vraisemblance. En effet, celle-ci correspond en général au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tenu pour vraisemblable lorsque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(cons. 3.3). L'assureur a un droit - découlant de l'article 8 CC - d'apporter une contre-preuve. Il peut s'efforcer de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de sorte que les allégations principales n'apparaissent plus comme étant d'une vraisemblance prépondérante. L'objet de la contre-preuve réside dans les faits présentés par l'ayant droit chargé de la preuve principale. Elle s'étend également à la crédibilité de ceux-ci: dès lors que la survenance du sinistre ne peut, en général, pas être prouvée de façon directe, mais seulement par des indices plus ou moins concluants, il est parfois possible de diminuer le caractère convaincant de ces derniers.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(cons. 3.4). Si la contre-preuve est rapportée, les faits allégués par l'ayant droit ne doivent plus être tenus pour établis, soit comme présentant une vraisemblance prépondérante. La preuve principale a même au contraire échoué. Mais il faut s'en tenir là, sans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aucun sens à charger l'ayant droit d'une preuve stricte, qu'il pourrait d'autant moins rapporter qu'il a déjà échoué à franchir l'obstacle d'une preuve allégée (cons. 3.4). En résumé, celui qui fait valoir une prétention contre l'assureur a la charge d'alléguer et de prouver la survenance du cas d'assurance. Dans la mesure où cette preuve se heurte en règle générale à des difficultés, l'ayant droit bénéficie d'un allègement de la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la charge de ce dernier est mise en échec (cons. 3.5). 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comptent de l'ensemble des plaintes et éléments anamnestiques concernant le demandeur, si bien qu'on peut leur accorder une pleine valeur probante. L'on peut s'y fier à plus forte raison qu'ils rejoignent, dans leurs conclusions, l'appréciation faite tant par les autorités de l'assurance-invalidité en Suisse et au Liechtenstein (qui ont reconnu un invalidité quasi-totale), que par la compagnie d'assurances W.________ (qui a également reconnu une incapacité de 100 %), ou encore par les autorités judiciaires pénales (en Suisse) et civiles (au Liechtenstein, dans le cadre de la procédure contre la compagnie d'assurances N.________). Enfin, plusieurs des témoins entendus dans le cadre de l'enquête pénale ont également confirmé la réalité de l'accident en cause de même que le mauvais état de santé du demandeur. 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 Quant à la question, examinée notamment par le Dr H.________, de savoir si la cause de cette incapacité de travail doit, après un laps de temps déterminé, être qualifiée de maladie, elle importe peu dans la mesure où la couverture d'assurance litigieuse s'étend aussi bien au risque d'accident qu'à celui de maladie. 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Panorama à Vevey et qu'il se rendait dans les locaux de sa société S.________ Sàrl,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 De même, les comptes des sociétés gérées par le demandeur ne sont également d'aucun secours à la défenderesse dans la mesure où le demandeur employait plusieurs personnes (qui ont poursuivi leurs activités en l'absence du demandeur), dont l'une a au demeurant confirmé qu'elle avait repris petit à petit ses activités. 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 Enfin, la cassette vidéo produite par la défenderesse ne prouve pas non plus que le demandeur aurait travaillé à un taux supérieur à 25 %. Au vu des éléments qui précèdent, on ne saurait considérer que la défenderesse a rendu vraisemblable la « fraude » du demandeur. Cela étant, elle n'était pas fondée à se départir du contrat d'assurance litigieux. 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 Ce raisonnement ne peut être suivi. Il est en effet constant que si l'ayant droit peut prouver avoir été maintenu dans une situation de règlement du sinistre par l'assureur, celui-ci ne peut de bonne foi soulever l'exception de prescription (Kuhn/Montavon, op. cit., p. 183). 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 La demande ayant été déposée le 23 décembre 2003, soit avant l'échéance de ce nouveau délai, il y a lieu d'admettre que les prétentions du demandeur à l'égard de la défenderesse ne sont pas prescrites. 5. a) Il reste à déterminer le montant auquel le demandeur a droit en exécution du contrat d'assurance litigieux. L'art. 9 CGA prévoit que l'allocation journalière assurée est versée tant que dure l'incapacité de travail mais au maximum 730 jours dans une période de 900 jours consécutifs. Il stipule en outre que le délai d'attente éventuellement convenu est imputé sur la durée de versement des prestations. Selon l'art. 8 al. 2 CGA, en cas d'incapacité partielle de travail, l'allocation journalière assurée est versée proportionnellement. L'allocation journalière est fondée sur le salaire annuel divisé par 365 (art. 14 al. 1 CGA). 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 c) Cela étant posé, il convient encore de déterminer le taux à appliquer au salaire convenu. L'art. 8 al. 2 CGA, selon lequel l'allocation journalière assurée est versée entièrement si l'incapacité de travail atteint ou dépasse 66 2 / 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 A cet égard, le demandeur allègue que son incapacité de travail est de   75 % depuis le 1 er janvier 2001. Lors de son audition du 17 octobre 2001, il a également déclaré que son incapacité de travail était de 75 %. Quant aux rapports d'expertises et avis médicaux produits au dossier, ils font état, de manière divergente, d'une incapacité oscillant généralement entre 80 % et 90 %. Dans ces conditions, l'on s'en tiendra à la carte de contrôle régulièrement remplie par le Dr S.________, médecin traitant du demandeur, qui a suivi ce dernier sur une période de temps plus conséquente que les autres praticiens consultés. Selon cette carte, le demandeur s'est trouvé en incapacité de travail à 75 % du 1 er janvier au 1 er avril 2001 (91 jours), à 100 % du 2 avril au 1 er juillet 2001 (91 jours) et à 80 % à compter du 2 juillet 2001 en tout cas jusqu'au 16 septembre 2001 (77 jours). L'indemnité journalière à 75 %, 100 % et 80 % s'élève respectivement à 185 fr. 30, 247 fr. et 197 fr. 60. Compte tenu des taux qui précèdent, le demandeur doit se voir allouer la somme de 54'554 fr. 50 (91 x 185 fr. 30 = 16'862 fr. 30 ; 91 x 247 fr. = 22'477 fr. ; 77 x 197 fr. 60 = 15'215 fr. 20). d) La défenderesse doit également l'intérêt moratoire. Celui-ci court à compter du jour suivant celui de l'interpellation (art. 104 al. 1 et 102 al. 1 CO [code des obligations du 30 mars 1977, RS 220] ; Thevenoz, in Commentaire romand du Code des obligations I, n. 9 ad art. 104 CO ; TF, 25 février 2006, 5C.177/2005), ce qui correspond en l'espèce au 24 octobre 2002, soit le lendemain de la notification du commandement de payer à la défenderesse. 6. Le présent jugement est rendu sans frais, conformément à l'art. 85 al. 3 LSA. Le demandeur, qui obtient partiellement gain de cause avec le concours d'un mandataire professionnel, a droit à des dépens réduits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