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22/08 - 24/2009 vom 9. Dezember 2009</w:t>
      </w:r>
    </w:p>
    <w:p>
      <w:r>
        <w:t>VD Tribunal cantonal, 2009-12-09, FR</w:t>
      </w:r>
    </w:p>
    <w:p>
      <w:r>
        <w:rPr>
          <w:b/>
        </w:rPr>
        <w:t xml:space="preserve">Quelle: </w:t>
      </w:r>
      <w:r>
        <w:t>https://mcp.opencaselaw.ch/entscheid/vd_findinfo_AMC_22_08_-_24_2009</w:t>
      </w:r>
    </w:p>
    <w:p>
      <w:r>
        <w:t>FR: VD_FINDINFO AMC 22/08 - 24/2009 du 9 décembre 2009</w:t>
      </w:r>
    </w:p>
    <w:p>
      <w:r>
        <w:t>IT: VD_FINDINFO AMC 22/08 - 24/2009 del 9 dicembre 2009</w:t>
      </w:r>
    </w:p>
    <w:p>
      <w:pPr>
        <w:pStyle w:val="Heading2"/>
      </w:pPr>
      <w:r>
        <w:t>Regeste</w:t>
      </w:r>
    </w:p>
    <w:p>
      <w:r>
        <w:t>ASSURANCE D'UNE INDEMNITÉ JOURNALIÈRE, OBLIGATION DE RÉDUIRE LE DOMMAGE, INTÉRÊT MORATOIRE | 102 CO, 104 al. 1 CO, 100 al. 1 LCA, 61 LCA</w:t>
      </w:r>
    </w:p>
    <w:p>
      <w:pPr>
        <w:pStyle w:val="Heading2"/>
      </w:pPr>
      <w:r>
        <w:t>Erwägungen</w:t>
      </w:r>
    </w:p>
    <w:p>
      <w:r>
        <w:rPr>
          <w:b/>
        </w:rPr>
        <w:t>E. 1</w:t>
      </w:r>
    </w:p>
    <w:p>
      <w:r>
        <w:t>Le contrat d'assurance dont il est question dans la présente cause n'est pas soumis à la LAMal (loi fédérale du 18 mars 1994 sur l'assurance-maladie, RS 832.10). S'agissant d'une assurance complémentaire au sens de l'art. 12 al. 2 LAMal, il est régi par le droit des assurances privées, soit par la LCA (loi fédérale du 2 avril 1908 sur le contrat d'assurance, RS 221.229.1) (art. 12 al. 3 LAMal). Selon l'art. 1 DTAs-AM (décret du 20 mai 1996 relatif à l'attribution au Tribunal cantonal des assurances de la compétence du contentieux des assurances complémentaires à l'assurance-maladie, RSV 173.431), le présent litige relève de la compétence dudit tribunal, respectivement de la Cour des assurances sociales du Tribunal cantonal, qui lui a succédé à compter du 1 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qui s'applique aux contestations relatives aux assurances complémentaires à l'assurance-maladie sociale au sens de la LAMal (TF 4A_253/2007 du 13 novembre 2007 consid. 4.2; ATF 124 III 44 consid. 2a), ainsi que par les art. 106 ss LPA-VD (loi vaudoise du 28 octobre 2008 sur la procédure administrative, RSV 174.36) concernant l'action de droit administratif (CASSO, 28 avril 2009, AMC 27/03). La valeur litigieuse étant supérieure à 30'000 fr., la cause, valablement introduite en la forme, ressortit à la compétence de la Cour constituée de trois juges (art. 94 al. 1 LPA-VD a contrario, par renvoi de l'art. 107 LPA-VD).</w:t>
      </w:r>
    </w:p>
    <w:p>
      <w:r>
        <w:rPr>
          <w:b/>
        </w:rPr>
        <w:t>E. 2</w:t>
      </w:r>
    </w:p>
    <w:p>
      <w:r>
        <w:t>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b)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ils doit procéder d'office, est convaincu que certains faits présentent un degré de vraisemblance prépondérant et que d'autres mesures probatoires ne pourraient plus modifier cette appréciation, il est superflu de chercher d'autres preuves ("appréciation anticipée des preuves" ; Gygi, Bundesverwaltungsrechtpflege, 2 e éd., p. 274 ; Guldener, Schweizerisches Zivilprozessrecht,</w:t>
      </w:r>
    </w:p>
    <w:p>
      <w:r>
        <w:rPr>
          <w:b/>
        </w:rPr>
        <w:t>E. 2.1</w:t>
      </w:r>
    </w:p>
    <w:p>
      <w:r>
        <w:t>; 122 II 464, consid. 4a ; 122 III 219, consid. 3c ; 120 Ib 224, consid. 2b ; 119 V 335, consid. 3c et la référence).</w:t>
      </w:r>
    </w:p>
    <w:p>
      <w:r>
        <w:rPr>
          <w:b/>
        </w:rPr>
        <w:t>E. 3</w:t>
      </w:r>
    </w:p>
    <w:p>
      <w:r>
        <w:t>a) De l'avis du Dr S.________, l'incapacité de travail est actuellement justifiée dans la profession actuelle du demandeur auprès de V.________. Néanmoins, dans une profession adaptée à son handicap, soit dans un milieu non conflictuel, c'est-à-dire sans menace de licenciement et avec la reconnaissance de ses compétences, son incapacité serait de 50% avec reprise de ses activités professionnelles à 100% dans quelques semaines (expertise du 10.06.2008). Dans son rapport du 14 août 2008, ce praticien a infirmé le diagnostic de trouble dépressif et a confirmé l'avis de reprise d'activité à partir du 1 er août 2008. Pour sa part, le Dr R.________ a attesté une incapacité de travail totale dès le 30 octobre 2007 (certificat médical du 30.10.2007), avant de préciser que celle-ci durait jusqu'au 30 novembre 2008 et que son patient faisait état d'une capacité de travail à 100% dès le 1 er décembre 2008 (certificat du 31.10.2008). b) L'art. A8 des conditions générales d'assurances (ci-après: les CGA) prescrit qu'il y a incapacité de travail, lorsque, par suite de maladie, il ne peut être raisonnablement exigé de la personne assurée qu'elle exerce sa profession ou son activité actuelle. Toute activité dans une autre profession ou un autre domaine d'activité pouvant raisonnablement être exigée de la personne assurée est également prise en considération. L'art. C10 des CGA renvoie expressément à la LCA en complément aux dispositions contractuelles. 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A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 art. 61 al. 1 LCA pour imposer à l'assuré de faire valoir les prétentions que celui-ci pourrait avoir contre un autre assureur, ou un tiers responsable, et pour réduire s'il y a lieu ses prestations en application de l' art. 61 al. 2 LCA (ATF 133 III 527 consid. 3.2.2). 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(ATF 133 III 527 consid. 3.2.3; Jean-Louis Duc, Subrogation et surindemnisation en droit des assurances sociales, in Assurance sociale, responsabilité de l'employeur, assurance privée, 2005, p. 43 ss, 43-44; le même , L'assurance-invalidité, in Ulrich Meyer [éd.], Schweizerisches Bundesverwaltungsrecht, vol. XIV: Soziale Sicherheit, 2 e éd. 2007, p. 1371 ss, n. 361 p. 1540).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TF 4C.83/1998 du 11 juin 1998, consid. 3d et les références citées, notamment Roland Brehm, L'assurance privée contre les accidents, 2001, n. 14 p. 42, n. 221 p. 126 et n. 376 p. 191consid. 4).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(Christoph Graber, Bundesgesetz über den Versicherungsvertrag, Basler Kommentar, 2001, n. 1 ad art. 72 LCA et n. 1 ad art. 96 LCA ; Alfred Maurer, Schweizerisches Privatversicherungsrecht, 3 e éd. 1995, p. 410; Brehm, op. cit., n. 376 p. 191; Jean-Louis Duc, Assurance sociale et assurance privée, p. 63). Les prestations versées par un assureur social ne peuvent pas être imputées sur les allocations journalières dues par l'assureur privé (Brehm, op. cit., n. 376 p. 191-192; Maurer, op. cit., p. 410), à moins, évidemment, que les conditions générales d'assurance ne prévoient exceptionnellement une telle imputation (Brehm, op. cit., n. 376 p. 191-192; ATF 133 III 527 consid. 3.2.5). c) En l'espèce, il est constaté qu'aux termes de l'art. B1 des CGA applicables à l'assurance d'une indemnité journalière en cas de maladie, "[l]orsque, sur constatation du médecin, l'assuré est totalement dans l'incapacité de travailler, la B.________ paie l'indemnité journalière mentionnée dans la police" (ch. 1); "[e]n cas d'incapacité partielle de travail, l'indemnité journalière est fixée proportionnellement au degré de cette incapacité; elle est supprimée si l'incapacité de travail est inférieure à 25%"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travail de l'assuré. On est donc en présence d'une assurance de sommes, dans le cadre de laquelle la prestation de l'assureur est due indépendamment du point de savoir si l'ayant droit reçoit des prestations de la part d'autres assureurs, sous réserve de dispositions particulières des conditions générales d'assurances sur ce point. Il est ensuite constaté qu'aux termes de l'art. B4 des CGA, lorsque l'assuré a droit à des prestations servies par des assurances sociales ou des assurances de l'entreprise ou par un tiers responsable, la B.________ complète ses prestations dans les limites de la prestation à sa charge jusqu'à concurrence de l'indemnité journalière assurée (ch. 1); lorsque le droit à la rente d'une assurance sociale ou d'une assurance d'entreprise n'est pas encore établi, la B.________ paie l'indemnité journalière assurée en tant que prestation anticipée (ch. 2 1 ère phrase). Au vu de ce qui précède, il ne saurait être déduit des CGA que la défenderesse est en droit d'imputer sur ses prestations celles auxquelles l'assuré peut prétendre de la part des assurances sociales, s'il n'annonce pas le cas à celles-ci. Force est de constater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(art. 156 CO), on peut se demander si le demandeur s'est comporté de manière contraire à la bonne foi en ne s'inscrivant pas au chômage le 1 er août 2008. A cet égard, il ressort de l'art. 21 al. 4 LPGA, également applicable en matière d'assurance-maladie, qu'avant de réduire ou refuser temporairement ou définitivement des prestations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l'assureur doit lui avoir adressé une mise en demeure écrite l'avertissant des conséquences juridiques et lui impartissant un délai de réflexion convenable (TF 9C_546/2007 du 28 août 2008 consid. 7.2).</w:t>
      </w:r>
    </w:p>
    <w:p>
      <w:r>
        <w:rPr>
          <w:b/>
        </w:rPr>
        <w:t>E. 3.4</w:t>
      </w:r>
    </w:p>
    <w:p>
      <w:r>
        <w:t>et la référence citée). Comme il a été rappelé ci-dessus, l'assuré n'avait pas l'obligation de s'annoncer à l'assurance-chômage pour diminuer son dommage. De plus, aucune mise en demeure écrite n'a été faite par la défenderesse. Le fait qu'il ne se soit annoncé qu'en décembre 2008 au moment où le médecin traitant a attesté une capacité de travail complète n'est par ailleurs pas contraire à la bonne foi et ne correspond pas à un délai déraisonnable. A noter que si l'assuré s'était annoncé préalablement à l'assurance-chômage, il aurait probablement été déclaré inapte au placement. Au surplus, l'art. 70 al. 2 litt. b LPGA - versement prioritaire des prestations de l'assurance-chômage en cas de litige quant au débiteur des prestations d'assurances - ne s'applique pas aux prestations relevant d'un contrat d'assurance privée (TF 5C.246/2006 du 20 décembre 2006 consid.3.2), soit à l'assurance-maladie complémentaire. b) L'employeur V.________ se réfère, par courrier du 31 janvier 2008, au congé donné oralement et par écrit le 29 octobre 2007. Le délai de congé a été prolongé au 30 avril 2008 en raison de l'incapacité de travail de l'assuré. Une indemnité de 22'496 fr. a été versée avec le dernier salaire (montant versé avec le dernier salaire d'avril 2008). La défenderesse soutient que le montant de 22'496 fr. a été versé, le 31 janvier 2008, par l'employeur à titre de salaire qui couvre également la période considérée par l'assurance. Elle rappelle que l'assurance en question est une assurance de dommage qui couvre la perte de gain et que l'art. B4 des CGA prévoit que lorsque la personne assurée reçoit des prestations en espèces servies par des tiers responsables, la B.________ complète ces prestations dans les limites de la prestation à sa charge jusqu'à concurrence de l'indemnité journalière assurée. Selon toute vraisemblance, il faut constater que le montant de 22'496 fr. versé par l'ancien employeur du demandeur a été versé à titre transactionnel pour mettre fin au litige de droit du travail et qu'il s'agit d'une indemnité unique versée en raison de la résiliation des rapports de travail. Il n'a pas d'influence sur les obligations de l'assureur perte de gain, comme l'a admis la défenderesse lors de l'audience de jugement. Par surabondance, il faut relever que si ce montant correspondait à un salaire, il ne couvrirait que deux/trois mois de salaire (salaire 9'700 fr. par mois + solde de vacances), soit les mois de mai à juillet 2008, mois pour lesquels la défenderesse a déjà versé des indemnités journalières et qui ne sont pas litigieux. Il faut surtout constater que l'art. 71 al. 2 des Conditions complémentaires d'assurance prévoit qu'en modification de l'art. B4 des CGA, les prestations servies par les assurances sociales et les assurances de l'entreprise ou par un tiers responsable ne sont pas déduites des prestations de cette assurance. En conséquence, l'éventuelle surindemnisation de l'ayant droit est possible (jurisprudence mentionnée ci-dessus). c) La défenderesse fait valoir que le demandeur était apte au placement (art. 15 LACI [loi fédérale du 25 juin 1982 sur l'assurance-chômage, RS 837.0]) dès le 1 er juillet 2008, en invoquant la jurisprudence selon laquelle, en cas de rapports médicaux contradictoires, l'inaptitude n'est pas réputée manifeste (TF 8C_749/2007 du 3 septembre 2008, cons. 5.4; TF C 77/01 du 8 février 2002). Sur la base de la jurisprudence du Tribunal fédéral (ATF 133 III 527 précité), elle soutient ensuite que le demandeur ne n'est pas annoncé à l'assurance-chômage, malgré le courrier de A.________ du 27 juin 2008, de sorte que c'est à bon droit que le versement des indemnités journalières a cessé à fin juillet 2008. En premier lieu, on peut se demander si les rapports médicaux sont à ce point contradictoires que l'aptitude au placement doit être admise dès le 1 er juillet 2008. Sur ce point, l'attitude de la défenderesse est pour le moins curieuse, dès lors qu'elle se prévaut des conclusions de l'expertise du Dr S.________ (réponse du 19 janvier 2009, p.9), avant de relever que les rapports médicaux figurant au dossier sont contradictoires (procédé écrit du 9 décembre 2009, p. 5). Quoi qu'il en soit, cette question n'a pas besoin d'être tranchée. En effet, ainsi qu'on l'a vu plus haut, avant de réduire ou de mettre fin au versement des indemnités journalières, un assureur doit adresser à son assuré une mise en demeure écrite l'avertissant des conséquences juridiques et lui impartissant un délai de réflexion convenable pour lui permettre de solliciter des prestations de l'assurance-chômage (TF 9C_546/2007 du 28 août 2008 consid. 7.2). Or, en l'espèce, la défenderesse n'a pas accordé de délai à l'assuré ni ne lui a adressé de mise en demeure écrite. Enfin, il n'est pas démontré en l'occurrence (par le biais des CGA ou d'autres dispositions) que les prestations de l'assurance perte de gain en cas de maladie sont subsidiaires par rapport à celles d'autres assurances sociales. Admettre ce principe reviendrait du reste à vider la jurisprudence précitée de son contenu. d) Il s'ensuit que des prestations sous forme d'indemnités journalières sont dues au demandeur jusqu'au 30 novembre 2008 ainsi qu'il le réclame, celui-ci ayant recouvré une pleine capacité de travail dès le 1 er décembre 2008 (certificat médical du Dr R.________ du 31.10.2008). Le demandeur présente depuis le 30 octobre 2007 une incapacité de travail complète. L'indemnité journalière est de 261 fr. 95. Les indemnités journalières sont prévues pour une durée maximale de 730 jours, moyennant un délai d'attente de 60 jours. A ce jour, la défenderesse a commencé à payer des indemnités journalières depuis le 29 décembre 2008, une fois le délai d'attente de 60 jours échu, cela jusqu'au 31 juillet 2008. Il y a donc lieu de condamner la défenderesse à poursuivre le versement des indemnités journalières jusqu'au 30 novembre 2008 (=</w:t>
      </w:r>
    </w:p>
    <w:p>
      <w:r>
        <w:rPr>
          <w:b/>
        </w:rPr>
        <w:t>E. 4</w:t>
      </w:r>
    </w:p>
    <w:p>
      <w:r>
        <w:t>mois), ce qui revient à un montant de 31'957 fr. 90 (soit 122 indemnités à 261 fr. 95).</w:t>
      </w:r>
    </w:p>
    <w:p>
      <w:r>
        <w:rPr>
          <w:b/>
        </w:rPr>
        <w:t>E. 5</w:t>
      </w:r>
    </w:p>
    <w:p>
      <w:r>
        <w:t>a) Régissant le contrat en cause, la LCA ne contient aucune disposition sur la demeure ou l'intérêt moratoire, de sorte que les art. 102 ss CO sont applicables (art. 100 al. 1 er LCA; TF 5C.177/2005 du 25 février 2006, consid. 1.1). Le débiteur d'une obligation exigible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dû, dans le cas de la demeure par interpellation, à partir du jour suivant celui où le débiteur a reçu celle-ci (Thevenoz, in Commentaire romand du Code des obligations I, n. 9 ad art. 104 CO ; TF 5C.177/2005 du 25 février 2006, consid. 6.1).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Par courrier du 29 juillet 2008, le conseil du demandeur a formellement mis la défenderesse en demeure de s'acquitter de ses obligations contractuelles. Ce courrier, qui constitue une interpellation, a été reçu par la défenderesse. Le demandeur ayant droit aux indemnités journalières jusqu'au 1 er décembre 2008, il convient de fixer au 1 er octobre 2008 le dies a quo de l'intérêt moratoire, ainsi que le réclame le demandeur, ce qui correspond à l'échéance moyenne entre le 30 juillet 2008, lendemain de l'interpellation, et le 1 er décembre 2008 (Spahr, L'intérêt moratoire, conséquence de la demeure, in RVJ 1990 p. 372).</w:t>
      </w:r>
    </w:p>
    <w:p>
      <w:r>
        <w:rPr>
          <w:b/>
        </w:rPr>
        <w:t>E. 6</w:t>
      </w:r>
    </w:p>
    <w:p>
      <w:r>
        <w:t>Le présent jugement est rendu sans frais, conformément à l'art. 85 al. 3 LSA. 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2'000 fr., compte tenu d'un double échange d'écritures et de la tenue de deux audiences.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