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9/08 - 2/2010 vom 4. Januar 2010</w:t>
      </w:r>
    </w:p>
    <w:p>
      <w:r>
        <w:t>VD Tribunal cantonal, 2010-01-04, FR</w:t>
      </w:r>
    </w:p>
    <w:p>
      <w:r>
        <w:rPr>
          <w:b/>
        </w:rPr>
        <w:t xml:space="preserve">Quelle: </w:t>
      </w:r>
      <w:r>
        <w:t>https://mcp.opencaselaw.ch/entscheid/vd_findinfo_AI_9_08_-_2_2010</w:t>
      </w:r>
    </w:p>
    <w:p>
      <w:r>
        <w:t>FR: VD_FINDINFO AI 9/08 - 2/2010 du 4 janvier 2010</w:t>
      </w:r>
    </w:p>
    <w:p>
      <w:r>
        <w:t>IT: VD_FINDINFO AI 9/08 - 2/2010 del 4 gennaio 2010</w:t>
      </w:r>
    </w:p>
    <w:p>
      <w:pPr>
        <w:pStyle w:val="Heading2"/>
      </w:pPr>
      <w:r>
        <w:t>Regeste</w:t>
      </w:r>
    </w:p>
    <w:p>
      <w:r>
        <w:t>AI{ASSURANCE}, ÉVALUATION DE L'INVALIDITÉ, FORCE PROBANTE, COORDINATION{ASSURANCE}, STATISTIQUE | 28 al. 1 LAI, 16 LPGA, 7 LPGA, 8 LPGA</w:t>
      </w:r>
    </w:p>
    <w:p>
      <w:pPr>
        <w:pStyle w:val="Heading2"/>
      </w:pPr>
      <w:r>
        <w:t>Erwägungen</w:t>
      </w:r>
    </w:p>
    <w:p>
      <w:r>
        <w:rPr>
          <w:b/>
        </w:rPr>
        <w:t>E. 1</w:t>
      </w:r>
    </w:p>
    <w:p>
      <w:r>
        <w:t>La LPA-VD (loi cantonale vaudoise du 28 octobre 2008 sur la procédure administrative ; RSV 173.36), entrée en vigueur le 1 er janvier 2009 et qui s'applique aux recours et contestations par voie d'action dans le domaine des assurances sociales (art. 2 al. 1 let. c LPA-VD), est immédiatement applicable dans la présente cause (voir la disposition transitoire de l'art. 117 al. 1 LPA-VD). La Cour des assurances sociales du Tribunal cantonal, qui succède au Tribunal des assurances, est compétente pour statuer (art. 93 al. 1 let. a LPA-VD).</w:t>
      </w:r>
    </w:p>
    <w:p>
      <w:r>
        <w:rPr>
          <w:b/>
        </w:rPr>
        <w:t>E. 2</w:t>
      </w:r>
    </w:p>
    <w:p>
      <w:r>
        <w:t>Les conditions prévues par la loi pour la recevabilité des recours auprès du Tribunal cantonal des assurances (art. 60 ss LPGA [loi fédérale sur la partie générale du droit des assurances sociales du 6 octobre 2000 ; RS 830.1] notamment) sont manifestement remplies et il y a lieu d'entrer en matière.</w:t>
      </w:r>
    </w:p>
    <w:p>
      <w:r>
        <w:rPr>
          <w:b/>
        </w:rPr>
        <w:t>E. 3</w:t>
      </w:r>
    </w:p>
    <w:p>
      <w:r>
        <w:t>Le recourant prétend à une rente d'invalidité entière. a) Aux termes de l'art. 8 LPGA, est réputée invalidité l'incapacité de gain totale ou partielle qui est présumée permanente ou de longue durée. L'invalidité peut résulter d'une infirmité congénitale, d'une maladie ou d'un accident (art. 4 al. 1 in fine LAI [loi fédérale du 19 juin 1959 sur l'assurance-invalidité ; RS 831.20]).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mesures de réadaptation exigibles. Selon l'art. 28 al. 1 LAI, dans sa teneur antérieure au 1 er janvier 2004, l'assuré a droit à un quart de rente s'il est invalide à 40 % au moins, à une demi-rente s'il est invalide à 50 % au moins et à une rente entière s'il est invalide à 66 2/3 % au moins. A partir du 1 er janvier 2004, un degré d'invalidité de 40 % au moins donne droit à un quart de rente, un degré d'invalidité de 50 % au moins donne droit à une demi-rente, un degré d'invalidité de 60 % au moins donne droit à un trois-quarts de rente et un degré d'invalidité de 70 % au moins donne droit à une rente entière. Aux termes de l'art. 16 LPGA (et auparavant de l'art.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réadaptations, sur un marché du travail équilibré. Pour pouvoir fixer le degré d'invalidité, l'administration (en cas de recours, le tribunal)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261 consid. 4). En outre, les renseignements fournis par les médecins constituent une base importante pour apprécier la question de savoir quelle activité peut encore être raisonnablement exigée de la part de la personne assurée (ATF 125 V 261 consid. 4, 115 V 134 consid. 2, 114 V 314 consid. 2c, 105 V 158 consid. 1 ; RCC 1980 p. 263 ; Pratique VSI 2002 p. 64). b) La première question à résoudre est celle de la valeur probante des pièces médicales au dossier. A cet égard, suite à l'opposition du recourant à la décision du 13 mai 2005, l'OAI a mandaté le SMR pour un examen rhumatologique et psychiatrique, qui a été réalisé le 16 avril 2007 par deux médecins spécialistes FMH. Ce rapport d'examen contient une anamnèse circonstanciée, la description du status médical, l'examen du dossier radiologique, les diagnostics, ainsi qu'une appréciation consensuelle du cas étayée, avec des conclusions claires. Il répond ainsi aux exigences de la jurisprudence pour avoir pleine valeur probante (cf. ATF 134 V 231 consid. 5.1 ; ATF 125 V 351 consid. 3a ; TFA I 573/2004 du 10 novembre 2005, consid. 5.2). Le rapport de la Dresse B.________ invoqué par le recourant, daté du 15 juillet 2005, ne saurait remettre en cause la valeur probante de l'examen réalisé postérieurement au SMR. Il en va de même du rapport du Dr S.________ du 18 mars 2008 déposé en procédure ; en sa qualité de médecin traitant, celui-ci apporte sa propre appréciation de la situation mais ne pose pas de diagnostic qui ne serait pas connu du SMR, susceptible d'entraîner une incapacité de travail de longue durée, partant, de remettre en cause les conclusions de l'expertise (cf avis du SMR du 20 juin 2008). c) Par décision du 2 octobre 2007, la CNA, conformément au jugement du Tribunal des assurances du 7 mai précédent, a fixé le degré d'invalidité du recourant à 30%. La question de la coordination entre l'assurance accidents et l'assurance invalidité a fait l'objet de différents arrêts. Dans l'arrêt 133 V 549, le Tribunal fédéral s'exprime comme suit : « (…) 6.3 Schliesslich ist Folgendes zu beachten : In BGE 126 V 288 E. 2d S. 294 wird ausgeführt, dass zumindest rechtskräftig abgeschlossene Invaliditätsschätzungen nicht unbeachtet bleiben dürfen. Vielmehr müssen sie als Indizien für eine zuverlässige Beurteilung gewertet und als solches in den Entscheidungsprozess erst später verfügender Versicherungsträger miteinbezogen werden. (…) 6.4 Aus den vorstehenden Gründen ist in gleicher Weise wie in AHI 2004 S. 181, I 564/02 und BGE 131 V 362 eine absolute Bindungswirkung der lnvaliditätsschätzung der Unfallvesicherung für die Invalidenversicherung im Sinne von BGE 126 V 288 und daher die Berechtigung der IV-Stelle zur Einsprache gegen die Verfügung und zur Beschwerde gegen den Einspracheentscheid des Unfallversicherers über den Rentenanspruch als solchen oder den lnvaliditätsgrad zu verneinen ». Suivant cette jurisprudence, l'évaluation de l'assureur accidents n'a donc pas une portée absolue et il en va de même pour celle de l'assurance invalidité. Il s'agit néanmoins d'éléments qui doivent être pris en considération et dont on ne saurait s'écarter sans motifs suffisants. d) En l'espèce, sur le plan somatique, il ressort de l'examen du SMR qu'il n'y a pas d'élément médical que l'assureur accidents n'aurait pas pris en considération et que l'OAI devrait prendre en compte. Le recourant ne le prétend du reste pas, se bornant à contester la valeur de l'examen SMR et l'évaluation sur le plan économique, c'est-à-dire l'application des statistiques ESS. Sur le plan psychique, le SMR ne retient pas de limitations fonctionnelles. Dans ces conditions, il apparaît que l'on doit considérer comme déterminantes les appréciations concordantes de l'évaluation de la capacité de travail et de gain faite par la CNA/SUVA et l'OAI, à savoir un taux d'invalidité de 30%, ce taux n'ouvrant pas droit à une rente, même partielle, de l'assurance invalidité. Au demeurant, l'argumentation développée par le recourant pour contester l'application des valeurs statistiques ne peut être retenue. La jurisprudence admet en effet qu'en l'absence d'un revenu effectivement réalisé - soit lorsque l'assuré, après la survenance de l'atteinte à la santé, n'a pas repris d'activité, ou alors aucune activité adaptée, normalement exigible -, le revenu d'invalide peut être évalué sur la base des salaires fondés sur les données statistiques résultant des enquêtes sur la structure des salaires de l'Office fédéral de la statistique (ATF 126 V 76 consid. 3b/aa et bb ; VSI 2002 p. 68). Il est également de jurisprudence constante que le salaire statistique est suffisamment représentatif de ce que l'intéressé est en mesure de réaliser en tant qu'invalide dès lors qu'il recouvre un large éventail d'activités variées et non qualifiées compatibles avec les limitations fonctionnelles citées ; il n'est donc pas nécessaire de faire allusion à des exemples concrets (cf ATF 129 V 472 consid. 4.2.1 p. 475 ss). La méthode d'évaluation de l'invalidité mise en oeuvre par l'administration n'est ainsi pas critiquable et correspond aux exigences du Tribunal fédéral en la matière, ce d'autant plus que la déduction maximale de 25% a été admise pour tenir compte des importantes limitations fonctionnelles du recourant. Enfin, ce n'est pas parce que le recourant n'a pas été convoqué par l'OAI pour une éventuelle mesure de placement qu'il faut en déduire qu'une réinsertion a échoué. Au contraire, la décision attaquée, tout en refusant au recourant le droit à une rente, admet que le taux d'invalidité reconnu pourrait lui ouvrir le droit à des mesures professionnelles.</w:t>
      </w:r>
    </w:p>
    <w:p>
      <w:r>
        <w:rPr>
          <w:b/>
        </w:rPr>
        <w:t>E. 4</w:t>
      </w:r>
    </w:p>
    <w:p>
      <w:r>
        <w:t>Il s'ensuit que le recours doit être rejeté et la décision sur opposition confirmée. Les frais de justice sont mis à la charge du recourant, qui succombe (art. 49 LPA-VD). Celui-ci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