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95/22 - 36/2023 vom 31. Januar 2023</w:t>
      </w:r>
    </w:p>
    <w:p>
      <w:r>
        <w:t>VD Tribunal cantonal, 2023-01-31, FR</w:t>
      </w:r>
    </w:p>
    <w:p>
      <w:r>
        <w:rPr>
          <w:b/>
        </w:rPr>
        <w:t xml:space="preserve">Quelle: </w:t>
      </w:r>
      <w:r>
        <w:t>https://mcp.opencaselaw.ch/entscheid/vd_findinfo_AI_95_22_-_36_2023___________</w:t>
      </w:r>
    </w:p>
    <w:p>
      <w:r>
        <w:t>FR: VD_FINDINFO AI 95/22 - 36/2023 du 31 janvier 2023</w:t>
      </w:r>
    </w:p>
    <w:p>
      <w:r>
        <w:t>IT: VD_FINDINFO AI 95/22 - 36/2023 del 31 gennaio 2023</w:t>
      </w:r>
    </w:p>
    <w:p>
      <w:pPr>
        <w:pStyle w:val="Heading2"/>
      </w:pPr>
      <w:r>
        <w:t>Regeste</w:t>
      </w:r>
    </w:p>
    <w:p>
      <w:r>
        <w:t>ATTEINTE À LA SANTÉ PSYCHIQUE, FORCE PROBANTE, ÉVALUATION DE L'ATTEINTE À LA SANTÉ, ATTEINTE À LA SANTÉ PHYSIQUE | 28 al. 1 LAI, 4 al. 1 LAI, 6 LPGA, 7 LPGA, 8 LPGA</w:t>
      </w:r>
    </w:p>
    <w:p>
      <w:pPr>
        <w:pStyle w:val="Heading2"/>
      </w:pPr>
      <w:r>
        <w:t>Erwägungen</w:t>
      </w:r>
    </w:p>
    <w:p>
      <w:r>
        <w:rPr>
          <w:b/>
        </w:rPr>
        <w:t>E. 9</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Il s’impose donc de renvoyer la cause à l’intimé pour qu’il complète le dossier conformément auxdits considérants. Après actualisation des renseignements médicaux, il appartiendra à l’OAI de mettre en œuvre une expertise bidisciplinaire rhumatologique et psychiatrique, à tout le moins. Il convient par conséquent de renvoyer la cause à cette autorité, dès lors que c’est à elle qu’il incombe en premier lieu d’instruire, conformément au principe inquisitoire qui régit la procédure dans le domaine des assurances sociales (art. 43 al. 1 LPGA).</w:t>
      </w:r>
    </w:p>
    <w:p>
      <w:r>
        <w:rPr>
          <w:b/>
        </w:rPr>
        <w:t>E. 10</w:t>
      </w:r>
    </w:p>
    <w:p>
      <w:r>
        <w:t>Au stade de la réplique, le recourant a requis la tenue d’une audience publique . L'obligation d'organiser des débats publics au sens de l'art. 6 par. 1 CEDH, qui implique le droit pour le justiciable de plaider sa cause lui-même ou par l'intermédiaire de son avocat (TF 5A_1062/2019 du 16 avril 2020 consid. 4.2 et les références), suppose une demande formulée de manière claire et indiscutable de l'une des parties au procès ; de simples requêtes de preuves, comme des demandes tendant à une comparution ou à une interrogation personnelle, à un interrogatoire des parties, à une audition des témoins ou à une inspection locale, ne suffisent pas pour fonder une semblable obligation (TF 9C_335/2021 du 9 février 2022 consid. 3.1 ; ATF 136 I 279 consid. 1 et les arrêts cités). En l'espèce, le recourant n'a pas invoqué l'art. 6 par. 1 CEDH dans le cadre de son recours et n'a pas non plus fait référence à la jurisprudence y relative. A l'appui de sa « requête d'une audience publique » déposée conjointement avec la réplique, il s'est limité à demander à être interrogé « par rapport aux limitations insupportables qu’il subit et [à ce que la Cour inspecte] ses limitations criantes ». Or, si l'art. 6 par. 1 CEDH garantit certes à chacun le droit à ce que sa cause soit entendue publiquement (TF 8C_964/2012 du 16 septembre 2013 consid. 3.2), une demande formulée de manière claire et indiscutable fait défaut. On constate en effet que la requête formulée par le recourant - assisté d'un mandataire professionnel - constitue une simple demande tendant à la comparution ou à une interrogation personnelle. Elle vise à ce que la Cour de céans l'entende et se rende compte de l'importance de ses limitations, soit un aspect relatif à l'administration des preuves. Dans ces circonstances, la requête de preuve déposée dans le cadre de la procédure de recours ne suffit pas pour fonder l'obligation pour la Cour de céans d'organiser des débats publics au sens de l'art. 6 CEDH. Il n’y a donc pas lieu de donner suite à cette requête. De surcroît, cette mesure apparaîtrait superflue compte tenu de l’issue du recours.</w:t>
      </w:r>
    </w:p>
    <w:p>
      <w:r>
        <w:rPr>
          <w:b/>
        </w:rPr>
        <w:t>E. 11</w:t>
      </w:r>
    </w:p>
    <w:p>
      <w:r>
        <w:t>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La partie recourante obtient gain de cause et a droit à une indemnité de dépens à titre de participation aux honoraires de son conseil (art. 61 let. g LPGA). Compte tenu de l’importance et de la complexité du litige, il convient d’arrêter l’indemnité à 1'500 fr., débours et TVA compris, et de la mettre intégralement à la charge de l’intimé (art. 10 et 11 TFJDA [tarif du 28 avril 2015 des frais judiciaires et des dépens en matière administrative ; BLV 173.36.5.1]). La partie recourante est au bénéfice de l’assistance judiciaire (cf. décision du 12 avril 2022).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