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8/10 - 361/2011 vom 24. Juni 2011</w:t>
      </w:r>
    </w:p>
    <w:p>
      <w:r>
        <w:t>VD Tribunal cantonal, 2011-06-24, FR</w:t>
      </w:r>
    </w:p>
    <w:p>
      <w:r>
        <w:rPr>
          <w:b/>
        </w:rPr>
        <w:t xml:space="preserve">Quelle: </w:t>
      </w:r>
      <w:r>
        <w:t>https://mcp.opencaselaw.ch/entscheid/vd_findinfo_AI_8_10_-_361_2011</w:t>
      </w:r>
    </w:p>
    <w:p>
      <w:r>
        <w:t>FR: VD_FINDINFO AI 8/10 - 361/2011 du 24 juin 2011</w:t>
      </w:r>
    </w:p>
    <w:p>
      <w:r>
        <w:t>IT: VD_FINDINFO AI 8/10 - 361/2011 del 24 giugno 2011</w:t>
      </w:r>
    </w:p>
    <w:p>
      <w:pPr>
        <w:pStyle w:val="Heading2"/>
      </w:pPr>
      <w:r>
        <w:t>Regeste</w:t>
      </w:r>
    </w:p>
    <w:p>
      <w:r>
        <w:t>ÉVALUATION DE L'INVALIDITÉ, REVENU D'INVALIDE, LIBRE APPRÉCIATION DES PREUVES | 28 al. 2 LAI, 16 LPGA, 61 let. c LPGA, 27 RAI, 27bis RAI</w:t>
      </w:r>
    </w:p>
    <w:p>
      <w:pPr>
        <w:pStyle w:val="Heading2"/>
      </w:pPr>
      <w:r>
        <w:t>Erwägungen</w:t>
      </w:r>
    </w:p>
    <w:p>
      <w:r>
        <w:rPr>
          <w:b/>
        </w:rPr>
        <w:t>E. 1</w:t>
      </w:r>
    </w:p>
    <w:p>
      <w:r>
        <w:t>a) A teneur de la disposition transitoire de l’art. 117 al. 1 de la loi cantonale vaudoise du 28 octobre 2008 sur la procédure administrative (LPA-VD; RSV 173.36), en vigueur dès le 1 er janvier 2009, les causes pendantes devant les autorités administratives et de justice administrative à l’entrée en vigueur de ladite loi, sont traitées selon cette dernière. La Cour des assurances sociales du Tribunal cantonal, qui succède au Tribunal des assurances, est compétente pour statuer (art. 93 al. 1 let. a LPA-VD). b) Le recours a été déposé dans le délai légal (art. 60 LPGA [loi fédérale sur la partie générale du droit des assurances sociales du 6 octobre 2000, RS 830.1]) et répond aux exigences de formes prévues par la loi (art. 61 let. b LPGA, 79 al. 1 et 99 LPA-VD).</w:t>
      </w:r>
    </w:p>
    <w:p>
      <w:r>
        <w:rPr>
          <w:b/>
        </w:rPr>
        <w:t>E. 2</w:t>
      </w:r>
    </w:p>
    <w:p>
      <w:r>
        <w:t>Le présent recours tend principalement à l’annulation de la décision sur opposition de U.________ du 19 novembre 2009 et au renvoi de la cause à l’autorité intimée, subsidiairement à la réforme en ce sens qu’une rente d'invalidité est allouée à la recourante.</w:t>
      </w:r>
    </w:p>
    <w:p>
      <w:r>
        <w:rPr>
          <w:b/>
        </w:rPr>
        <w:t>E. 3</w:t>
      </w:r>
    </w:p>
    <w:p>
      <w:r>
        <w:t>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vertu de l’art. 28 al. 1 LAI, l’assuré a droit à un quart de rente s’il est invalide à 40 % au moins, à une demi-rente s’il est invalide à 50 % au moins, à trois-quarts de rente s’il est invalide à 60 % au moins et à une rente entière s’il est invalide à 70 % au moins. Aux termes de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3.1</w:t>
      </w:r>
    </w:p>
    <w:p>
      <w:r>
        <w:t>et les références citées).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Une telle manière de procéder ne viole pas le droit d'être entendu selon l'art. 29 al. 2 Cst., la jurisprudence rendue sous l'empire de l'art. 4 aCst. étant toujours valable (ATF 9C_561/2009 du 14 janvier 2011, consid. 4.2 et les références citées).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(arrêt 9C_53/2009 du 29 mai 2009 consid. 4.2 et les arrêts cités). Ce qui précède vaut également pour les rapports établis par un service médical régional de l'assurance-invalidité (ATF 9C_745/2010 du 30 mars 2011, consid. 3 et les références cités). b) En principe, le juge ne s'écarte pas sans motif impérieux des conclusions d'une expertise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En d'autres termes, même s'il apprécie librement les preuves, le juge ne saurait, toutefois, sans motifs sérieux, substituer son opinion à celle de l'expert; en l'absence de tels motifs, il s'expose au reproche d'arbitraire (ATF 8C_510/2010 du 1 er juin 2011 consid. 6 et les références citées).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8C_392/2010 du 21 décembre 2010, consid. 5.2 et les références citées).</w:t>
      </w:r>
    </w:p>
    <w:p>
      <w:r>
        <w:rPr>
          <w:b/>
        </w:rPr>
        <w:t>E. 4</w:t>
      </w:r>
    </w:p>
    <w:p>
      <w:r>
        <w:t>a) L’art. 61 let. c LPGA prévoit que le juge établit, avec la collaboration des parties, les faits déterminants pour la solution du litige; il administre les preuves nécessaires et les apprécie librement.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9C_92/2010 du 23 juin 2010, consid.</w:t>
      </w:r>
    </w:p>
    <w:p>
      <w:r>
        <w:rPr>
          <w:b/>
        </w:rPr>
        <w:t>E. 5</w:t>
      </w:r>
    </w:p>
    <w:p>
      <w:r>
        <w:t>En l'occurrence, la question qui se pose est de savoir s'il y a des motifs sérieux pour s'écarter de l’appréciation de l'expert K.________ et lui préférer celle du médecin traitant. Le rapport du Dr K.________ répond aux critères définis par la jurisprudence pour accorder pleine valeur probante à une expertise médicale. Il contient une anamnèse complète et un résumé des renseignements tirés du dossier; il fait également état des indications subjectives de l’intéressée ainsi que du résultat des observations faites au cours de l’examen clinique; les conclusions auxquelles il aboutit sont motivées de manière convaincante. Concernant l’évolution du tableau clinique, les diagnostics posés par les différents praticiens ayant examiné la recourante sont assez semblables. Cela étant, un élément déterminant consiste dans le fait que l’état de santé de la recourante ne s’est objectivement pas aggravé depuis 2004, date de la fin de son apprentissage. En effet, l'intervention chirurgicale effectuée le 30 janvier 2007 n'a pas pu aggraver l'état de la colonne lombaire, ni augmenter la symptomatologie douloureuse. Il semblerait plutôt que la combinaison entre un licenciement survenu peu avant l'intervention chirurgicale du 30 janvier 2007, cumulé aux démêlées assécurologiques auxquelles la recourante a été confrontée contribuent grandement à rendre sa situation subjectivement pénible. En d’autres termes, plus que la situation physique de la recourante — qui n’a pas changé — c’est l’apparente dépression subie qui motive la demande de rente. La comorbidité psychiatrique de l’assurée n’a toutefois pas de caractère invalidant, de sorte qu'il convient de se référer aux conclusions de l'expert et des médecins du SMR. Cela étant, il faut admettre que la recourante présente une capacité de travail raisonnablement exigible de 100% avec une perte de rendement de 20% dans l'activité habituelle. En définitive, le refus de U.________ d’accorder des prestations à la recourante s’avère bien fondé.</w:t>
      </w:r>
    </w:p>
    <w:p>
      <w:r>
        <w:rPr>
          <w:b/>
        </w:rPr>
        <w:t>E. 6</w:t>
      </w:r>
    </w:p>
    <w:p>
      <w:r>
        <w:t>Au vu de ce qui précède, le recours doit être rejeté et la décision attaquée confirmée. En dérogation à l’art. 61 let. a LPGA, la procédure de recours en matière de contestations portant sur l’octroi ou le refus de prestations de l’Al devant la Cour des assurances sociales est sujette à émolument. Le montant des frais est fixé en fonction de la charge liée à la procédure, indépendamment de la valeur litigieuse, et doit se situer entre 200 et 1'000 fr. (art. 69 al. 1 bis LAI). En l’espèce, compte tenu de l’ampleur de la procédure, les frais sont arrêtés à 400 fr., à la charge de la recourante. Compte tenu de l'issue du litige, il n'est pas alloué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