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87/10 - 413/2011 vom 8. September 2011</w:t>
      </w:r>
    </w:p>
    <w:p>
      <w:r>
        <w:t>VD Tribunal cantonal, 2011-09-08, FR</w:t>
      </w:r>
    </w:p>
    <w:p>
      <w:r>
        <w:rPr>
          <w:b/>
        </w:rPr>
        <w:t xml:space="preserve">Quelle: </w:t>
      </w:r>
      <w:r>
        <w:t>https://mcp.opencaselaw.ch/entscheid/vd_findinfo_AI_87_10_-_413_2011</w:t>
      </w:r>
    </w:p>
    <w:p>
      <w:r>
        <w:t>FR: VD_FINDINFO AI 87/10 - 413/2011 du 8 septembre 2011</w:t>
      </w:r>
    </w:p>
    <w:p>
      <w:r>
        <w:t>IT: VD_FINDINFO AI 87/10 - 413/2011 del 8 settembre 2011</w:t>
      </w:r>
    </w:p>
    <w:p>
      <w:pPr>
        <w:pStyle w:val="Heading2"/>
      </w:pPr>
      <w:r>
        <w:t>Regeste</w:t>
      </w:r>
    </w:p>
    <w:p>
      <w:r>
        <w:t>RENTE D'INVALIDITÉ, EXPERTISE PLURIDISCIPLINAIRE, FORCE PROBANTE, COMPARAISON DES REVENUS | 1 LAI, 69 al. 1 let. a LAI, 69 al. 1bis LAI, 83 LOJV, 16 LPGA, 60 al. 1 LPGA, 61 let. g LPGA, 2 al. 1 let. c LPA-VD, 49 al. 1 LPA-VD, 55 al. 1 LPA-VD, 93 al. 1 let. a LPA-VD</w:t>
      </w:r>
    </w:p>
    <w:p>
      <w:pPr>
        <w:pStyle w:val="Heading2"/>
      </w:pPr>
      <w:r>
        <w:t>Erwägungen</w:t>
      </w:r>
    </w:p>
    <w:p>
      <w:r>
        <w:rPr>
          <w:b/>
        </w:rPr>
        <w:t>E. 1</w:t>
      </w:r>
    </w:p>
    <w:p>
      <w:r>
        <w:t>LOJV [loi vaudoise d'organisation judiciaire du 12 décembre 1979, RSV 173.01]), et non par un juge unique (cf. art. 94 al. 1 let. a LPA-VD). c) Il s'ensuit que la cour de céans est compétente pour statuer sur le recours interjeté selon écriture du 3 mars 2010 par R.________ contre la décision rendue le 29 janvier 2010 par l'Office de l'assurance-invalidité pour le canton de Vaud, décision notifiée au recourant au plutôt le 4 février 2010 de sorte que le recours doit être considéré comme interjeté en temps utile (art. 60 al. 1 LPGA).</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les références; cf. ég. TF 9C_441/2008 du 10 juin 2009, consid. 2 et 9C_197/2007 du 27 mars 2008, consid. 1.2). En l'espèce, le recourant conteste l'évaluation de sa capacité de travail résiduelle telle que ressortant de la décision litigieuse, soit une exigibilité de 100% dans une activité adaptée à l'ensemble de ses limitations fonctionnelles. Il soutient en premier lieu qu'à l'occasion de l'expertise interdisciplinaire réalisée par la clinique [...], l'expert psychiatre (le Dr L.________) aurait adopté des préjugés et a priori négatifs ayant influencé dans ce sens les deux autres experts dans le cadre du rapport d'expertise du 23 avril 2007. Il cite à cet égard plusieurs passages de l'expertise psychiatrique. De l'avis du recourant, s'agissant de l'appréciation de sa personnalité et de sa capacité de travail, l'expert psychiatre aurait cherché à s'ériger en moralisateur et non pas en tant qu'expert. Le recourant cite à cet égard plusieurs passages de l'expertise de psychiatrie du 23 avril 2007 qu'il considère comme caractéristique du manque d'objectivité de l'expert. L'expert psychiatre mentionne ainsi en p. 3 de cette expertise que "l'assuré tend à mettre en exergue toutes ses incompétences et évite de mentionner les aspects positifs de sa vie". Sous chiffre 3 par. 2 en p. 4, il est relevé que "[l'expertisé] tousse de façon ostentatoire […] Sa tenue vestimentaire était singulièrement bien soignée, avec de belles chaussures et une montre de style Rolex, contrastant avec une barbe de trois jours mal entretenue". En p. 6 de son examen, l'expert psychiatre mentionne qu'il ne sait comment expliquer les résultats aux tests pratiqués, si ce n'est par des éléments de faible collaboration. En p. 7, il est écrit que "on ne peut que difficilement rendre compte d'une altération de l'intérêt et du plaisir chez cet assuré qui met en exergue sa nécessité de voir deux à quatre fois par semaine son médecin et de devoir prendre des médicaments de façon quotidienne". En p. 10 est évoquée la possibilité de la recherche de bénéfices secondaires, élément qui se verrait confirmé en p. 15 où il est noté que "la famille vit sur le salaire à 80% de l'épouse ainsi que sur des prestations de l'assistance sociale". En p. 11, les plaintes sont perçues comme exagérées et discordantes avec les bases organiques du fait que le recourant signale des douleurs d'intensité de 8/10 avec un "petit sourire, une absence complète d'algie au niveau de la mimique faciale et une mobilisation du tronc ne laissant pas supposer un quelconque blocage". En p. 13, l'expert s'interroge sur l'éventualité d'une surcharge de la symptomatologie algique (trouble factice). Sous chiffre 5 par. 2 en p. 14, il impute au recourant d'attendre "comme par magie, que quelqu'un trouve une solution à ses difficultés". Le recourant avance ensuite que l'atteinte de syndrome douloureux somatoforme persistant a été écartée de manière arbitraire. Il reproche en ce sens à l'expert psychiatre d'avoir fondé son examen sur la base des éléments constitutifs repris de la jurisprudence parue à l'ATF 130 V 352. Les constatations médicales opérées à cet effet s'avéreraient ainsi erronées. Pour terminer, le recourant reproche à l'expert de n'avoir pas retenu à tort le diagnostic d'état de stress post traumatique (PTSD) au motif qu'il ne présenterait plus de remémoration du facteur de stress avec flash back et souvenirs intenses des traumatismes endurés lors de sa fuite durant la guerre en Bosnie. L'OAI considère que les phrases reprises hors de leur contexte par le recourant, afin de démontrer le parti pris de l'expert psychiatre, résultent soit de l'anamnèse, c'est-à-dire des propres déclarations du recourant, soit de constatations objectives de l'expert. Ensuite le caractère invalidant ou non d'un trouble somatoforme douloureux s'apprécie en fonction des différents critères développés par la jurisprudence (in casu selon les conditions de l'ATF 130 V 352). Le fait pour l'expert de mettre en parallèle son observation et ses conclusions diagnostiques avec les exigences de la jurisprudence s'avère être parfaitement correct. Pour terminer vu l'absence d'éléments ressortant du status ou même de l'anamnèse, il n'a pas été possible à l'expert psychiatre de retenir le diagnostic d'état de stress post traumatique.</w:t>
      </w:r>
    </w:p>
    <w:p>
      <w:r>
        <w:rPr>
          <w:b/>
        </w:rPr>
        <w:t>E. 3</w:t>
      </w:r>
    </w:p>
    <w:p>
      <w:r>
        <w:t>a)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 quart de rente s'il est invalide à 40 % au moins, à une demi-rente s'il est invalide à 50 % au moins, à trois quarts de rente s'il est invalide à 60 % au moins et à une rente entière s'il est invalide à 70 % au moins (cf. art. 28 al. 1 LAI dans sa teneur du 1 er janvier 2004 au 31 décembre 2007, et art. 28 al. 2 LAI en vigueur depuis le 1 er janvier 2008 [5 e révision de l'AI, RO 2007 p. 5129 ss]). b)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9C_921/2010 du 23 juin 2010, consid. 3.1 et 9C_609/2009 du 15 avril 2010, consid. 4.1).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consid. 2.2, 8C_420/2010 du 27 octobre 2010, consid. 4.3 et 9C_53/2009 du 29 mai 2009, consid. 4.2 et les arrêts cités).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rPr>
          <w:b/>
        </w:rPr>
        <w:t>E. 4</w:t>
      </w:r>
    </w:p>
    <w:p>
      <w:r>
        <w:t>a) Dans leur expertise psychiatrique du 23 avril 2007, le Dr L.________ et M. H.________, tous deux spécialistes, se sont fondés sur des examens cliniques, sur une étude fouillée et complète des pièces du dossier, ont pris en considération les plaintes du recourant et ont brossé une anamnèse rigoureuse. L'appréciation du cas avec pronostic est présentée de manière claire et cohérente. Cette expertise emporte pleine valeur probante au sens de la jurisprudence rappelée au consid. 3b supra. Les phrases ou citations mises en exergue dans l'expertise psychiatrique par le recourant sont de manière générale sorties de leur contexte et résultent tantôt de l'anamnèse, des propres déclarations du recourant, ou de constatations objectives de l'expert (ce dernier ayant notamment pour tâche de souligner d'éventuelles contradictions entre les déclarations recueillies et ses propres constatations). Dans ces circonstances, on ne voit pas d'éléments propres à rediscuter la qualité de l'expertise psychiatrique qui n'a pas pu s'en trouver altérée par de prétendus préjugés et a priori négatifs du Dr L.________. S'agissant de l'affection de syndrome douloureux somatoforme persistant qui aurait été écartée de manière arbitraire par l'expert psychiatre, c'est à tort que le recourant fait grief à l'expert d'avoir fondé son analyse en regard des éléments constitutifs repris de la jurisprudence parue à l'ATF 130 V 352. Ainsi que l'a souligné avec raison l'intimé, un tel mode de procéder s'avère en parfaite adéquation avec la pratique en la matière afin de juger du caractère invalidant ou non d'un syndrome douloureux somatoforme persistant. Seul le suivi d'une telle méthode permet une analyse scientifique, rigoureuse fondée sur des critères objectifs et de nature à assurer une garantie de traitement entre les situations susceptibles de remplir les conditions posées. Quant au prétendu caractère erroné des constatations de l'expert psychiatre, le recourant livre sa propre appréciation des circonstances sans pour autant disposer d'éléments médicaux concrets afin d'étayer ses dires. Il ressort au contraire d'aucun des certificats ou rapports médicaux au dossier que le diagnostic de syndrome douloureux somatoforme persistant puisse être retenu en l'espèce. Il n'y a par conséquent aucun motif de se distancer sur ce point de l'appréciation de l'expert psychiatre de la clinique [...]. Le diagnostic d'état de stress post traumatique (PTSD) n'a pas été retenu au motif que de l'avis de l'expert psychiatre, lors de son examen clinique en 2007, le recourant ne présentait plus de remémoration du facteur de stress avec flashback et souvenirs intenses. L'expert a néanmoins relevé qu'il est possible que ce diagnostic fût présent lors de la fuite de Bosnie en 1993. Il résulte certes du dossier que dans deux certificats médicaux des médecins de l'association " [...]" des 10 décembre 1998 et 7 avril 1999, le recourant présentait alors des troubles anxieux d'une part (en 1998) et un trouble de l'adaptation avec perturbation mixte des émotions et des conduites d'autre part (en 1999). Considérant que plus de huit ans séparent les certificats médicaux précités de l'expertise psychiatrique en question et qu'il existe en outre plus de quatorze ans entre cette expertise et les événements tragiques vécus lors de la fuite depuis la Bosnie, la Cour de céans ne voit pas de raisons de se distancer de l'avis de l'expert psychiatre. Il est par conséquent tout à fait envisageable qu'à la date de la décision attaquée (in casu le 29 janvier 2010) le recourant n'était plus sujet à des remémorations de ses souvenirs difficiles vécus en 1993. Pour ces raisons, le diagnostic d'état de stress post traumatique (PTSD) ne saurait être retenu. b) En définitive, les conclusions médicales de l'expertise pluridisciplinaire du 23 avril 2007 de la clinique [...], reprises dans la décision attaquée, selon lesquelles le recourant bénéficie d'une capacité de travail conservée à 100% sans diminution de rendement depuis 2000 (délai légal d'attente d'une année depuis 1999) dans une activité adaptée à ses limitations fonctionnelles, ne prêtent pas le flanc à la critique. c) La décision attaquée échappe à la critique en tant qu'elle retient, sur la base d'un dossier complet, en particulier sur le plan médical, que le recourant dispose d'une pleine capacité de travail résiduelle dans une activité adaptée à ses limitations fonctionnelles. On ne voit pas sur quelles conclusions de l'expertise pluridisciplinaire de la clinique [...], le recourant se base pour en déduire une incapacité de travail d'au moins 70% à exercer un travail quelconque. Au demeurant, il n'apporte aucun élément médical nouveau à l'appui de son recours pouvant mettre en doute les conclusions de l'expertise pluridisciplinaire reprises dans la décision attaquée. De nouvelles mesures probatoires ne seraient donc pas de nature à modifier l'appréciation de la cour de céans, de sorte qu'il n'y a pas lieu d'ordonner la mise en œuvre de l'expertise ainsi que de l'audition du Prof. Z.________ sollicitées par le recourant (cf. ATF 122 II 464 c. 4a, JT 1997 I 786; ATF 122 III 219 c. 3.c, JT 1997 I 246).</w:t>
      </w:r>
    </w:p>
    <w:p>
      <w:r>
        <w:rPr>
          <w:b/>
        </w:rPr>
        <w:t>E. 5</w:t>
      </w:r>
    </w:p>
    <w:p>
      <w:r>
        <w:t>a) Le recourant ne conteste ni le calcul en tant que tel ni la méthode employée par l'intimé pour la détermination du revenu de valide et de celui d'invalide servant à la comparaison des revenus afin de calculer son taux d'invalidité. Bien que non critiqué, ce point conserve cependant des liens étroits avec la question litigieuse, de sorte que la Cour de céans va devoir procéder ci-après à son examen détaillé (cf. consid. 2 supra).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L'invalidité est donc avant tout une notion juridique fondée sur des éléments d'ordre essentiellement économique et ne se confond pas forcément avec le taux de l'incapacité fonctionnelle, tel que le détermine le médecin puisque ce sont les conséquences économiques de l'incapacité fonctionnelle qu'il importe d'évaluer (ATF 110 V 275 et 105 V 205). L'objet de l'assurance consiste par conséquent en l'incapacité pour l'assuré de réaliser un gain par l'accomplissement d'un travail exigible (art. 7 et 8 LPGA), étant précisé à cet égard que le devoir de réadaptation incombe en premier lieu à l'assuré lui-même (ATF 113 V 28 consid. 4a; TFA I 871/2005 du 31 octobre 2006, consid. 5). L'évaluation de l'invalidité des personnes qui exercent une activité lucrative est effectuée, dans la mesure du possible, selon la méthode générale de comparaison des revenus.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selon la jurisprudence, que si elles sont établies au degré de la vraisemblance prépondérante (ATF 129 V 222 consid. 4.3.1; TF 9C_439/2009 du 30 décembre 2009, consid. 5.1). Lorsque l'assuré n'a pas repris d'activité professionnelle, la jurisprudence préconise, pour la détermination du revenu d'invalide, la référence aux données statistiques, telle que celles-ci résultent des enquêtes sur la structure des salaires (ESS) de l'Office fédéral de la statistique (ATF 126 V 76 consid. 3b/aa et bb). On se réfère alors à la statistique des salaires bruts standardisés, en se fondant toujours sur la médiane ou valeur centrale. b) En l'espèce, la décision attaquée retient un revenu sans invalidité pour 2000 (année d'ouverture du droit à la rente; cf. art. 28 al. 1 let. b LAI) de 55'640 francs. Le recourant n'ayant pratiquement pas travaillé en Suisse, ce montant se base sur le salaire statistique ESS 2000 pour des activités simples et répétitives dans le secteur privé (tableau TA1; niveau de qualification 4), à savoir un montant mensuel de 4'437 fr. part au 13 ème salaire comprise. Les salaires bruts standardisés étant basés sur une durée hebdomadaire de 40 heures inférieure à la moyenne usuelle dans les entreprises en 2000 (41,8 heures; La Vie économique, 10-2006, p. 90, tableau B 9.2), le montant précité doit être porté à 4'636 fr. 67 ([4'437 fr. x 41,8] / 40), ce qui donne un montant annuel de 55'639 fr. 98, arrondi à 55'640 fr., lequel correspond au revenu sans invalidité retenu par l'OAI. S'agissant du revenu avec invalidité pour 2000, considérant que le recourant bénéficiait alors d'une capacité de travail résiduelle de 100% dans toute activité adaptée à ses handicaps (cf. consid. 3d supra), soit pour des activités simples et répétitives dans le secteur privé (niveau de qualification 4), le salaire d'invalide brut s'établit également sur la base des salaires ressortant des données statistiques de l'ESS 2000, à savoir un montant mensuel de 4'437 fr. pour une durée de travail hebdomadaire de 40 heures, part au 13 e salaire comprise, soit un salaire mensuel brut de 4'636 fr. 67 pour une durée de travail hebdomadaire de 41.8 heures correspondant à la moyenne usuelle réalisée dans les entreprises en 2000. Partant pour 2000, le revenu annuel d'invalide réalisable s'élève à 55'639 fr. 98 (4'636 fr. 67 x 12). Lorsqu'il est fait application des valeurs statistiques ESS, tel qu'en l'espèce, certains empêchements propres à la personne de l'invalide (limitations liées au handicap, à l'âge, aux années de service, à la nationalité/catégorie d'autorisation de séjour et au taux d'occupation) requièrent qu'intervienne une réduction (pondération) sur les salaires ESS (ATF 126 V 75 consid. 5b/aa et bb; cf. pour exemple TF 9C_91/2010 du 2 juillet 2010, consid. 4.1). Une déduction globale maximale de 25% sur le salaire statistique permet de tenir compte de l'ensemble des différents éléments qui peuvent influencer le revenu d'une activité lucrative (ATF 126 V 75 consid. 5b/cc; VSl 2/2002 p. 64 consid. 4b). La déduction résulte d'une évaluation et doit par conséquent être brièvement motivée par l'office AI.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(TF 9C_280/2010 du 12 avril 2011). En l'occurrence, la décision litigieuse retient un abattement de 10% sur le revenu d'invalide en raison des limitations fonctionnelles affectant le recourant (pas de travail en hauteur ni dans une ambiance bruyante, pas dans une profession où la communication a de l'importance, pas avec des machines dangereuses surtout avec alarme sonore et éviter le port de charges supérieures à 20 kg). La Cour de céans est d'avis que l'appréciation de l'OAI apparaît justifiée au vu de l'ensemble des circonstances, de sorte qu'en l'absence de motifs suffisants, il n'y a pas lieu pour la cour de substituer son appréciation à celle de l'administration, le taux d'abattement de 10% devant être admis. Partant après déduction de l'abattement, le revenu d'invalide 2000 s'élève ainsi à 50'075 fr. 98 (55'639 fr. 98 – 10%), arrondi à 50'076 francs. Après comparaison, au sens de l'art. 16 LPGA, entre le revenu réalisable sans invalidité (55'640 fr.) et celui d'invalide (50'076 fr.), le degré d'invalidité s'élève à 10% ([55'640 fr. – 50'076 fr.] / 55'640 fr.] x 100), soit 10%. On constate ainsi que ce degré d'invalidité – lequel est identique au pourcent ressortant de la décision litigieuse – n'ouvre pas le droit au recourant à l'allocation d'une rente AI (cf. consid. 3a supra).</w:t>
      </w:r>
    </w:p>
    <w:p>
      <w:r>
        <w:rPr>
          <w:b/>
        </w:rPr>
        <w:t>E. 6</w:t>
      </w:r>
    </w:p>
    <w:p>
      <w:r>
        <w:t>Mal fondé, le recours doit être rejeté, ce qui entraîne la confirmation de la décision attaquée.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et être mis à la charge du recourant qui succombe (art. 69 al. 1bis LAI; art. 49 al. 1 LPA-VD). Il n'y a pas lieu d'allouer de dépens dans la mesure où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