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AI 86/09 - 519/2010 vom 19. Oktober 2010</w:t>
      </w:r>
    </w:p>
    <w:p>
      <w:r>
        <w:t>VD Tribunal cantonal, 2010-10-19, FR</w:t>
      </w:r>
    </w:p>
    <w:p>
      <w:r>
        <w:rPr>
          <w:b/>
        </w:rPr>
        <w:t xml:space="preserve">Quelle: </w:t>
      </w:r>
      <w:r>
        <w:t>https://mcp.opencaselaw.ch/entscheid/vd_findinfo_AI_86_09_-_519_2010</w:t>
      </w:r>
    </w:p>
    <w:p>
      <w:r>
        <w:t>FR: VD_FINDINFO AI 86/09 - 519/2010 du 19 octobre 2010</w:t>
      </w:r>
    </w:p>
    <w:p>
      <w:r>
        <w:t>IT: VD_FINDINFO AI 86/09 - 519/2010 del 19 ottobre 2010</w:t>
      </w:r>
    </w:p>
    <w:p>
      <w:pPr>
        <w:pStyle w:val="Heading2"/>
      </w:pPr>
      <w:r>
        <w:t>Regeste</w:t>
      </w:r>
    </w:p>
    <w:p>
      <w:r>
        <w:t>PROCÉDURE ADMINISTRATIVE, OPPOSITION{PROCÉDURE}, PRÉAVIS{ASSURANCE SOCIALE}, INDEMNITÉ JOURNALIÈRE, DROIT D'ÊTRE ENTENDU, REVENU DÉTERMINANT, REVENU, MESURE DE RÉADAPTATION{ASSURANCE SOCIALE}, RECONVERSION PROFESSIONNELLE, BASE DE CALCUL | 29 al. 2 Cst., 17 LAI, 23 al. 1 LAI, 57 al. 1 LAI, 57 al. 1 let. g LAI, 57a LAI, 60 LAI, 8 LAI, 42 LPGA, 52 LPGA, 21 RAI, 73bis al. 1 RAI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Au vu de ce qui précède, le recours, bien fondé, doit être admis et le dossier de la cause renvoyé à l’OAI afin qu’il procède au calcul des indemnités journalières sur la base du revenu réalisé par la recourante en tant qu’employée à la Banque Z.________. La recourante, qui obtient gain de cause avec le concours d'un mandataire autorisé, a droit à des dépens, dont le montant doit être déterminé, sans égard à la valeur litigieuse, d'après l'importance et la complexité du litige (art. 61 let. g LPGA et 55 al. 1 LPA-VD [loi vaudoise du 28 octobre 2008 sur la procédure administrative, RSV 173.36]). En l'espèce, il convient d'arrêter le montant des dépens à 2’500 fr. et de les mettre à la charge de l’OAI, qui succombe (art. 55 al. 2 LPA-VD). Il n’y a pas lieu de percevoir de frais judiciaires in casu (art. 52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