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80/16 - 356/2017 vom 30. November 2017</w:t>
      </w:r>
    </w:p>
    <w:p>
      <w:r>
        <w:t>VD Tribunal cantonal, 2017-11-30, FR</w:t>
      </w:r>
    </w:p>
    <w:p>
      <w:r>
        <w:rPr>
          <w:b/>
        </w:rPr>
        <w:t xml:space="preserve">Quelle: </w:t>
      </w:r>
      <w:r>
        <w:t>https://mcp.opencaselaw.ch/entscheid/vd_findinfo_AI_80_16_-_356_2017</w:t>
      </w:r>
    </w:p>
    <w:p>
      <w:r>
        <w:t>FR: VD_FINDINFO AI 80/16 - 356/2017 du 30 novembre 2017</w:t>
      </w:r>
    </w:p>
    <w:p>
      <w:r>
        <w:t>IT: VD_FINDINFO AI 80/16 - 356/2017 del 30 novembre 2017</w:t>
      </w:r>
    </w:p>
    <w:p>
      <w:pPr>
        <w:pStyle w:val="Heading2"/>
      </w:pPr>
      <w:r>
        <w:t>Regeste</w:t>
      </w:r>
    </w:p>
    <w:p>
      <w:r>
        <w:t>RENTE D'INVALIDITÉ | 28 LAI, 4 LAI, 7 LPGA, 8 LPGA</w:t>
      </w:r>
    </w:p>
    <w:p>
      <w:pPr>
        <w:pStyle w:val="Heading2"/>
      </w:pPr>
      <w:r>
        <w:t>Erwägungen</w:t>
      </w:r>
    </w:p>
    <w:p>
      <w:r>
        <w:rPr>
          <w:b/>
        </w:rPr>
        <w:t>E. 8</w:t>
      </w:r>
    </w:p>
    <w:p>
      <w:r>
        <w:t>Sous l’angle ménager, la Cour observe ce qui suit. a) L’intimé a implicitement admis une entière incapacité sur ce plan, de l’accident du 3 janvier 2004 jusqu’au 2 janvier 2006. Cette appréciation, qui n’est certes documentée par aucune pièce au dossier, sera néanmoins retenue en tant qu’elle n’est pas contestée par les parties et s’avère favorable à la recourante. b) Pour la suite, l’OAI s’est écarté du taux d’empêchement ménager fixé à 59,3 % par l’enquête économique sur le ménage du 15 novembre 2007. A la place, l’office s’est fondé sur le rapport d’expertise du Centre T.________ du 25 juin 2008 considérant que l’exercice d’une activité ménagère était exigible à 70 % deux ans après l’accident du 3 janvier 2004 – expertise jugée probante par la Cour de céans dans son arrêt du 16 février 2012 (cf. CASSO AI 94/10 – 59/2012 précité consid. 6c et 6e) et sur laquelle il n’y a plus lieu de revenir à ce stade (cf. consid. 5 supra). Tout au plus rappellera-t-on qu’en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(cf. TF 9C_925/2013 du 1 er avril 2014 consid. 2.2 et 8C_671/2007 du 13 juin 2008 consid. 3.2.1 ; cf. TFA I 311/03 du 22 décembre 2003 consid. 5.3 in VSI 2004 p. 139 s.). L’enquête économique est par ailleurs insuffisante en présence de troubles neuropsychologiques qui, vu la nature de l’atteinte, ne permettent pas d’expliquer objectivement une divergence importante entre ce qui peut apparemment être exigé sur le plan professionnel et ce qui peut être demandé dans le cadre de l’accomplissement des travaux habituels (cf. TF I 288/06 du 20 avril 2007 consid. 5.2.2). Cela étant, compte tenu des diagnostics neuropsychologiques et psychiques retenus en l’espèce, l’appréciation pleinement convaincante des experts du Centre T.________ devait donc être privilégiée pour cet aspect également. c) Finalement, les experts du Centre T.________ n’ayant posé aucun diagnostic incapacitant dans leur rapport du 7 avril 2015, l’OAI n’avait corollairement plus à évaluer les empêchements ménagers de l’assurée.</w:t>
      </w:r>
    </w:p>
    <w:p>
      <w:r>
        <w:rPr>
          <w:b/>
        </w:rPr>
        <w:t>E. 9</w:t>
      </w:r>
    </w:p>
    <w:p>
      <w:r>
        <w:t>Reste à déterminer l’impact des considérations qui précèdent du point de vue de la capacité de gain de la recourante. a) Le droit à une rente entière d’invalidité à compter du 1 er janvier 2006 n’est pas contesté et n’apparaît du reste pas contestable. Compte tenu de l’incapacité consécutive à l’accident du 3 janvier 2004 (cf. consid. 7a et 8a supra), il faut admettre qu’à l'échéance du délai d'attente d’une année prévu par la loi (cf. art. 28 al. 1 let. b LAI, anciennement art. 29 al. 1 let. b LAI), soit au mois de janvier 2005, l’intéressée pouvait potentiellement prétendre à une rente entière d’invalidité. Néanmoins, la demande de prestations ayant été déposée le 22 janvier 2007, le point de départ du versement de la rente ne pouvait intervenir que douze mois plus tôt, soit au 1 er janvier 2006 (cf. art. 48 al. 2 LAI dans sa teneur en vigueur jusqu’au 31 décembre 2007). b) L’intimé a ensuite considéré que l’amélioration survenue en janvier 2006 justifiait le passage à un quart de rente au 31 mars 2006. aa) En ce qui concerne la part active,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(cf. art. 16 LPGA).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2006, dès lors que la rente a été réduite au cours de cette année (cf. pour un cas d’application : TF 8C_515/2013 du 14 avril 2014 spéc. consid. 4.2 ; cf. également TF I 700/05 du 12 janvier 2007 consid. 8 et TFA I 621/04 du 12 octobre 2005 consid. 5.1 concernant le cas d'une rente temporaire). Force est toutefois de constater que l’OAI a repris, dans la décision litigieuse du 19 février 2016, le détail du salaire exigible calculé le 4 avril 2013, pour lequel l’année 2012 avait été retenue – à tort – comme année de référence. Bien que la décision attaquée s’avère ainsi erronée, cette erreur n’a toutefois pas de répercussion sur le taux d’invalidité global, ainsi qu’il sera démontré ci-après. aaa)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l’espèce, l’OAI a implicitement repris les chiffres retenus à l’occasion de sa précédente décision du 19 septembre 2013, découlant plus particulièrement de la fiche de calcul établie le 4 avril 2013. Dans ce contexte, le revenu sans invalidité a été fixé à 68'692 fr. 36 sur la base du « [m]ontant figurant sur le projet de décision daté du 19.03.2009, indexé à 2012 » (cf. calcul du salaire exigible du 4 avril 2013) – soit 66'600 fr. correspondant au revenu annuel de l’assurée comme enseignante à 50 % (cf. fiche d’examen du 19 mars 2009). Outre que c’est à tort que l’office a procédé à une indexation à 2012 alors même que l’année de référence est ici l’année 2006 (cf. consid. 9b/aa supra), on peine également à comprendre le montant de 66'600 fr. désigné comme revenu de valide. A cet égard, il sied de rappeler que, selon le questionnaire pour l’employeur du 26 février 2007, le revenu mensuel de l’assurée à 40,90 % était de 4'620 fr. 10 depuis le 1 er janvier 2007 mais de 4'608 fr. 55 pour l’année précédente. C’est donc de ce dernier montant, relatif à l’année 2006, qu’il convient de partir. Le salaire de 4'608 fr. 55 correspondant à une activité à 40,90 % alors que le taux d’occupation effectif de l’intéressée était de 50 % (cf. CASSO AI 94/10 – 59/2012 précité consid. 6b), ce montant doit encore être augmenté proportionnellement à 5'633 fr. 92 (4'608 fr. 55 x 50 / 40,90), soit un salaire de 73'241 fr. 01 par an (5'633 fr. 92 x 13) que l’on retiendra par conséquent au titre de revenu sans invalidité. bbb)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(cf. ATF 135 V 297 consid. 5.2, 129 V 472 consid. 4.2.1 et 126 V 76 consid. 3a/bb ; cf.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 cf. TF 9C_35/2015 du 19 août 2015 consid. 4.1 et 9C_297/2011 du 31 janvier 2012 consid. 4.1.2).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et 126 V 75 consid. 6 ; cf. TF 9C_637/2014 du 6 mai 2015 consid. 4.2). En l’occurrence, il est constant que la recourante était toujours employée par l’Etat de Vaud en 2006. Attendu toutefois que son taux d’occupation a fluctué suite à l’accident du 3 janvier 2004 et qu’elle a fini par mettre un terme à son activité en 2007, l’OAI s’est conséquemment fondé à juste titre sur les données statistiques de l’ESS. C’est plus précisément sur le revenu d’invalide déterminé le 4 avril 2013 que l’OAI s’est basé pour rendre la décision du 19 février 2016. Ce revenu, de 24'337 fr. 18, avait été calculé à l’aune des données découlant de l’ESS pour l’année 2010, niveau de qualification 4, avec indexation à 2012, et moyennant un horaire de 50 % et un abattement de 10 % tenant compte des limitations fonctionnelles, de l’âge ainsi que des années de service. C’est toutefois aux données statistiques de l’ESS pour l’année 2006 que l’intimé aurait dû faire référence (cf. consid. 9b/aa supra), et non à celles de 2010 indexées à 2012. En outre, le niveau de qualification 4 (« Activités simples et répétitives ») retenu par l’OAI apparaît discutable ; en effet, vu le niveau de formation de l’assurée et le type d’activités adaptées à sa portée (employée de bureau, aide de bureau, employée d’accueil), le niveau de qualification 3 (« Connaissances professionnelles spécialisées ») semble plus approprié aux spécificités du cas et sera donc privilégié dans le présent arrêt. L’intimé s’est par ailleurs fondé sur un horaire de 50 %, alors même que les experts du Centre T.________ ont fixé l’exigibilité à 70 % dans une activité adaptée (cf. consid. 7b supra). Enfin, si un taux d’abattement de 20 % avait initialement été choisi (cf. fiche d’examen du dossier du 29 janvier 2013), on ignore les raisons qui ont poussé l’office à retenir finalement un taux de 10 %. Cela étant, la Cour retient que le salaire des femmes ayant des connaissances professionnelles spécialisées était de 4'901 fr. par mois en 2006, part au treizième salaire comprise (ESS 2006, TA1, niveau de qualification 3). Compte tenu du fait que les salaires bruts standardisés se basent sur un horaire de travail de quarante heures, soit une durée hebdomadaire inférieure à celle prévalant dans les entreprises en 2006 (41,7 heures [La Vie économique 5-2014, p. 88, tableau B9.2]), le salaire mensuel de 4'901 fr. évoqué ci-dessus représente un revenu d'invalide de 5'109 fr. 29 par mois (4'901 fr. x 41,7 : 40 heures), soit 61'311 fr. 51 par année. Ce montant doit être adapté au taux d’exigibilité de 70 % retenu par les experts du Centre T.________ dans une activité adaptée, ce qui conduit à un revenu de 42'918 fr. 06. A ce salaire, il convient encore d’appliquer un facteur de réduction, que l'intimé a fixé en l'espèce à 10 % eu égard aux limitations fonctionnelles, à l’âge et aux années de service de la recourante. Toutefois, le taux de 20 % précédemment retenu correspondait bien davantage aux particularités du cas d’espèce – à savoir les limitations fonctionnelles de la recourante, son âge (près de 56 ans au moment de l’expertise du Centre T.________ de 2008), son taux d’occupation réduit dans une activité adaptée (70 %) et ses nombreuses années de service à l’Etat de Vaud (depuis le 1 er août 1988). En ce sens, le revenu avec invalidité doit donc être fixé à 34'334 fr. 45. ccc) Après comparaison du revenu d'invalide (34'334 fr. 45) avec celui sans invalidité (73'241 fr. 01), il résulte une perte de gain de 38'906 fr. 56 correspondant à un degré d’invalidité de 53,12 % (38'906 fr. 56 / 73'241 fr. 10 x 100). Il s’ensuit, pour la part active, un taux d’invalidité de 26,56 % (50 % de 53,12 %). bb) Pour la part ménagère, la Cour de céans ne peut que se rallier au taux d’invalidité de 15 % retenu par l’OAI, compte tenu des empêchements ménagers évalués à 30 % et d’une part ménagère de 50 % (50 % de 30 %). cc) L’addition des taux d’invalidité pour les parts active et ménagère aboutit à un taux global de 41,56 %, n’ouvrant le droit qu’à un quart de rente d’invalidité. C’est conséquemment à juste titre que l’intimé a réduit la rente entière d’invalidité de la recourante à un quart de rente. Au demeurant, on soulignera que même en se fondant sur un niveau de qualification 4 (cf. consid. 9b/aa/bbb supra) pour déterminer le revenu d’invalide (soit 4'019 fr.), on aboutirait toujours à une solution analogue (soit un taux d’invalidité global de 45,78 %) compte tenu d’une invalidité de 30,78 % pour la part active (50 % de 61,56 %). En revanche, force est de relever que, selon les constatations initiales de l’OAI, l’amélioration de l’état de santé et de la capacité de gain à l’origine de la réduction de rente est intervenue au 3 janvier 2006 (cf. avis SMR du 14 juillet 2008 ; cf. décision du 29 janvier 2010 ; cf. fiche d’examen du dossier du 29 janvier 2013), la date ultérieurement retenue du 1 er janvier 2006 (cf. décision du 19 septembre 2013) résultant à l’évidence d’une erreur. Aussi la réduction des prestations ne peut-elle intervenir qu’à l’issue d’un délai de trois mois depuis le 3 janvier 2006, soit au 30 avril 2006 (cf. art. 88 a al. 1 RAI ; cf. TF 9C_695/2010 du 15 mars 2011 consid. 7, confirmant une suppression de rente au 31 janvier 2007 sur la base d’une amélioration remontant au 2 octobre 2006) comme l’avait du reste initialement retenu l’office (cf. décision du 29 janvier 2010 ; cf. fiche d’examen du 29 janvier 2013), et non au 31 mars 2006. c) Enfin, la recourante ne présentant plus d’atteinte incapacitante et disposant corrélativement d’une pleine exigibilité dans toute activité depuis le 1 er janvier 2012, l’OAI a conséquemment supprimé le quart de rente d’invalidité au 31 mars 2012 (cf. art. 88 a al. 1 RAI). Ce faisant, l’office a toutefois négligé les circonstances particulières du cas d’espèce. aa) D’une part, il faut souligner que l'âge de la personne assurée est, de manière générale, considéré comme un facteur étranger à l'invalidité qui n'entre pas en considération pour l'octroi de prestations. En effet,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(cf. TFA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(cf. ATF 138 V 457 consid. 3.3 ; cf. TF 9C_899/2015 du 4 mars 2016 consid. 4.3.1 et les références citées). D’autre part, la jurisprudence prévoit des situations dans lesquelles des mesures d'ordre professionnel doivent être considérées comme nécessaires, malgré l'existence d'une capacité de travail médico-théorique. Il s'agit des cas dans lesquels la réduction ou la suppression – par révision (cf. art. 17 al. 1 LPGA) ou reconsidération (cf. art. 53 al. 2 LPGA) – du droit à la rente concerne une personne assurée qui est âgée de 55 ans révolus ou qui a bénéficié d'une rente pendant quinze ans au moins. Le point de savoir si ces critères sont réalisés doit être examiné par rapport au moment du prononcé de la décision de suppression de la rente ou à celui à partir duquel cette prestation a été supprimée (cf. ATF 141 V 5 consid. 4). Même si les critères susdits sont remplis,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(cf. TF 9C_228/2010 du 26 avril 2011 consid. 3.3, in SVR 2011 IV n° 73 p. 220). bb) En l’occurrence, l’assurée, née le [...] 1952, était âgée de 62 ans et huit mois lorsque les experts du Centre T.________ se sont prononcés en avril 2015 sur sa capacité résiduelle de travail (cf. ATF 138 V 457 consid. 3.3), jugée entière dans toute activité depuis 2012 et ce sans aucune composante d’invalidité. Lors de cet examen, l’intéressée se trouvait donc à moins d’un an et demi de l’âge légal de la retraite (64 ans pour les femmes, cf. art. 21 al. 1 let. b LAVS [loi fédérale du 20 décembre 1946 sur l'assurance-vieillesse et survivants; RS 831.10]). Même sans souffrir d’une atteinte invalidante, il faut admettre qu’à cet âge, la recourante aurait vraisemblablement rencontré des difficultés pour se faire engager par un employeur potentiel, compte tenu du salaire et des contributions patronales à la prévoyance professionnelle obligatoire, ainsi que de la durée prévisible des rapports de travail. A cela s’ajoute que l’expertise susdite a été ordonnée suite à un arrêt de renvoi du 13 juin 2014 fondé sur une suspicion d’aggravation de l’état de santé en lien, notamment, avec le vieillissement (cf. avis médical SMR du 28 mars 2014) ; dans un tel contexte, on peut difficilement retenir que la recourante aurait pu se rendre compte en 2012 de l’amélioration de son état de santé, telle que constatée en 2015. On ne peut par ailleurs exclure que l’amélioration en question ait été– tout du moins partiellement – induite par fait que l’assurée ne travaillait plus depuis un certain temps à l’époque de l’expertise, avec une moindre exposition aux facteurs de stress. Prise dans leur globalité, les circonstances exposées ci-avant justifient in casu l’application de la jurisprudence concernant les assurés proche de l’âge de la retraite (cf. ATF 138 V 457 précité). Sur cette base, la Cour retiendra donc que lorsque la pleine capacité de travail de la recourante a été constatée par les experts du Centre T.________ en avril 2015, respectivement lorsque la décision attaquée a été rendue le 19 février 2016, la reprise d’une activité professionnelle n’était pas exigible de la part de l’intéressée compte tenu de la chronologie particulière des événements et, plus précisément, de son âge. L’hypothèse inverse aboutirait du reste à un résultat choquant puisque, à supposer que l’on nie le bénéfice de la jurisprudence susmentionnée dans le cas particulier, la mise en œuvre de mesures de réadaptation destinées aux personnes âgées de 55 ans révolus ou ayant bénéficié d'une rente pendant quinze ans au moins ne pourrait pas non plus intervenir en l’espèce faute de sens, l’assurée ayant atteint l’âge légal de la retraite en [...] 2016, soit [...] mois après la décision litigieuse, respectivement trois mois après le dépôt de son recours devant la Cour de céans (la question de savoir si de telles mesures doivent être appliquées non pas dans le contexte d’une révision ou d’une reconsidération, mais dans le cadre d’une demande initiale, comme en l’occurrence, pouvant rester indécise). En conséquence, il y a lieu de maintenir le droit de la recourante à un quart de rente d’invalidité jusqu’au 19 février 2016, date de la décision entreprise qui définit le cadre temporel de l’examen du juge (cf. TF 9C_500/2011 du 26 mars 2012 consid. 4 avec la jurisprudence citée). Le dossier sera retourné à l’OAI pour qu’il se prononce sur le maintien du droit à la rente pour la période postérieure au 19 février 2016, étant souligné que la personne assurée cesse d'avoir droit à la rente d'invalidité dès qu'elle peut prétendre à la rente de vieillesse de l'AVS (cf. art. 30 LAI).</w:t>
      </w:r>
    </w:p>
    <w:p>
      <w:r>
        <w:rPr>
          <w:b/>
        </w:rPr>
        <w:t>E. 10</w:t>
      </w:r>
    </w:p>
    <w:p>
      <w:r>
        <w:t>Le dossier étant complet, permettant ainsi à la Cour de céans de statuer en pleine connaissance de cause, on ne voit pas en quoi l’audition de témoins (cf. réplique du 9 janvier 2017) – dont une partie avait déjà été auditionnée en 2011 (cf. CASSO AI 94/10 - 59/2012 du 16 février 2012 let. C) – serait de nature à modifier les considérations qui précèdent. Il y a donc lieu d’y renoncer, par appréciation anticipée des preuves (cf. ATF 134 I 140 consid. 5.3, 131 I 153 consid. 3 et 130 II 425 consid. 2 ; cf. TF 9C_748/2013 du 10 février 2014 consid. 4.2.1).</w:t>
      </w:r>
    </w:p>
    <w:p>
      <w:r>
        <w:rPr>
          <w:b/>
        </w:rPr>
        <w:t>E. 11</w:t>
      </w:r>
    </w:p>
    <w:p>
      <w:r>
        <w:t>a) De ce qui précède, il résulte que le recours doit être partiellement admis et la décision attaquée réformée en ce sens que A.________ a droit à une rente entière d’invalidité dès le 1 er janvier 2006, puis à un quart de rente du 1 er mai 2006 au 19 février 2016, la cause étant pour le surplus retournée à l’office afin qu’il statue sur le droit à la rente pour la période postérieure au 19 février 2016.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En l’espèce, compte tenu de l’ampleur de la procédure, les frais de justice doivent être arrêtés à 400 fr. et mis à la charge de l’intimé, qui succombe (cf. art. 69 al. 1 bis LAI et 49 al. 1 LPA-VD). Obtenant partiellement gain de cause avec l’assistance d’un mandataire professionnel, la recourante a droit à une indemnité de dépens à titre de participation aux honoraires de son conseil, qu’il convient en l’espèce d’arrêter à 1’500 fr. (cf. art. 61 let. g LPGA ; cf. également art.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