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74/16 - 119/2016 vom 2. Mai 2016</w:t>
      </w:r>
    </w:p>
    <w:p>
      <w:r>
        <w:t>VD Tribunal cantonal, 2016-05-02, FR</w:t>
      </w:r>
    </w:p>
    <w:p>
      <w:r>
        <w:rPr>
          <w:b/>
        </w:rPr>
        <w:t xml:space="preserve">Quelle: </w:t>
      </w:r>
      <w:r>
        <w:t>https://mcp.opencaselaw.ch/entscheid/vd_findinfo_AI_74_16_-_119_2016</w:t>
      </w:r>
    </w:p>
    <w:p>
      <w:r>
        <w:t>FR: VD_FINDINFO AI 74/16 - 119/2016 du 2 mai 2016</w:t>
      </w:r>
    </w:p>
    <w:p>
      <w:r>
        <w:t>IT: VD_FINDINFO AI 74/16 - 119/2016 del 2 maggio 2016</w:t>
      </w:r>
    </w:p>
    <w:p>
      <w:pPr>
        <w:pStyle w:val="Heading2"/>
      </w:pPr>
      <w:r>
        <w:t>Regeste</w:t>
      </w:r>
    </w:p>
    <w:p>
      <w:r>
        <w:t>DÉCISION D'IRRECEVABILITÉ, DÉLAI DE RECOURS | 38 al. 1 LPGA, 39 al. 1 LPGA, 40 al. 1 LPGA, 41 LPGA, 60 al. 1 LPGA, 60 al. 2 LPGA, 79 al. 1 LPA-VD, 99 LPA-VD</w:t>
      </w:r>
    </w:p>
    <w:p>
      <w:pPr>
        <w:pStyle w:val="Heading2"/>
      </w:pPr>
      <w:r>
        <w:t>Erwägungen</w:t>
      </w:r>
    </w:p>
    <w:p>
      <w:r>
        <w:rPr>
          <w:b/>
        </w:rPr>
        <w:t>E. 2</w:t>
      </w:r>
    </w:p>
    <w:p>
      <w:r>
        <w:t>e éd. 2011, n. 14 ad art. 50 LTF, disposition similaire aux art. 41 LPGA et 22 LPA‑VD), qu'une maladie peut être considérée comme un empêchement non fautif, si elle met la partie dans l'impossibilité d'agir par elle-même ou de charger une tierce personne d'agir en son nom dans les délais (ATF 119 II 86 consid. 2a ; 112 V 255 consid. 2a ; TF 2A.248/2003 du 8 août 2003 consid. 3 ; Thierry Tanquerel, Manuel de droit administratif, 2011, p. 444, n. 1348 ; Kathrin Amstutz / Peter Arnold, in: op. cit., n. 16 ad art. 50 LTF avec de nombreuses références); attendu que, selon la jurisprudence résumée ci-avant, il appartient à la recourante d'établir un lien direct entre la maladie alléguée et l'impossibilité de s'occuper de la procédure en cours (cf. aussi TF 9C_209/2012 du 26 juin 2012 consid. 3, 2C_511/2009 du 18 janvier 2010 consid. 5.3 et les références), que, pour des motifs tenant à la sécurité du droit, la jurisprudence n'admet que de manière extrêmement stricte une restitution de délai dans de telles circonstances, qu'il faut notamment que le manquement ne soit pas fautif, qu'en l’occurrence, il convient de constater que la recourante a signé elle-même l'ensemble des écritures devant la Cour de céans, qu'elle ne s'est dès lors pas trouvée dans la nécessité de faire appel à un tiers pour agir à sa place au cours de la présente procédure, précisant toutefois qu’elle allait prendre un avocat, si la Cour de céans persistait à ne pas tenir compte des preuves démontrant une mauvaise gestion de son dossier, qu'un tel besoin n'est au demeurant pas avéré, dans la mesure où, non seulement, la recourante a agi seule, mais où il ne ressort pas non plus des pièces versées au dossier constitué qu'elle bénéficierait d'une aide ou d'un soutien quelconque pour faire face aux contraintes de la vie quotidienne, que l'on doit par conséquent retenir que la recourante ne fait pas la démonstration d'une incapacité de discernement, respectivement de la nécessité de faire appel à un mandataire, si bien qu'il y a lieu de conclure à l'absence d'une impossibilité objective, comme la force majeure, mais également d'une impossibilité due à des circonstances personnelles ou à une erreur excusables qui auraient empêché un plaideur – respectivement un mandataire – consciencieux d'agir dans le délai fixé (cf. TFA I 854/06 du 5 décembre 2006 et les références citées), qu'en définitive, réputé tardif sans qu'une restitution de délai se justifie, le recours doit être déclaré irrecevable ; attendu qu’au surplus, aux termes de l’art. 79 al. 1 LPA-VD, en relation avec l’art. 99 LPA-VD, l’acte de recours doit être signé et indiquer les conclusions et motifs du recours ; en outre, la décision attaquée doit être jointe au recours, que l’autorité de recours renvoie les écrits peu clairs, incomplets, prolixes, inconvenants ou qui ne satisfont pas aux conditions de forme posées par la loi (art. 27 al. 4 LPA-VD), qu’elle impartit un bref délai à leurs auteurs pour les corriger, tout en les informant que les écrits qui ne sont pas produits à nouveau dans ce délai, ou dont les vices ne sont pas corrigés, sont réputés retirés (art. 27 al. 5 LPA-VD), que nonobstant le texte de l’art. 27 al. 5 LPA-VD, l’absence de motivation du recours entraîne en réalité son irrecevabilité (cf. ATF 137 I 161), qu’en l’espèce, malgré deux courriers de la juge instructeur des 4 et 18 avril 2016 envoyés sous pli recommandé, la recourante n’a pas produit la décision litigieuse qui semble avoir été rendue par l’Office de l’assurance-invalidité pour le canton de Vaud (OAI) ‒ l’intéressée faisant état d’un « document AI » ‒, ni précisé ses conclusions dans le délai qui lui avait été imparti ; attendu que selon l'art. 82 LPA-VD, applicable au recours au Tribunal cantonal en vertu de l'art. 99 LPA-VD, l'autorité peut renoncer à l'échange d'écritures ou, après celui-ci, à toute autre mesure d'instruction, lorsque le recours paraît manifestement irrecevable, bien ou mal fondé (al. 1) ; que dans ces cas, elle rend à bref délai une décision d'irrecevabilité, d'admission ou de rejet sommairement motivée (al. 2), que, dans ces conditions, force est de constater que l'acte du 29 mars 2016 ne satisfait pas aux exigences légales, de sorte que le recours doit être déclaré irrecevable sans échange d'écritures ni mesures d'instruction (art. 82 LPA-VD), qu’il n’y a pas lieu de percevoir des frais de justice, ni d’allouer de dépens (art. 91 LPA-VD, applicable par renvoi de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