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74/10 - 286/2012 vom 3. August 2012</w:t>
      </w:r>
    </w:p>
    <w:p>
      <w:r>
        <w:t>VD Tribunal cantonal, 2012-08-03, FR</w:t>
      </w:r>
    </w:p>
    <w:p>
      <w:r>
        <w:rPr>
          <w:b/>
        </w:rPr>
        <w:t xml:space="preserve">Quelle: </w:t>
      </w:r>
      <w:r>
        <w:t>https://mcp.opencaselaw.ch/entscheid/vd_findinfo_AI_74_10_-_286_2012</w:t>
      </w:r>
    </w:p>
    <w:p>
      <w:r>
        <w:t>FR: VD_FINDINFO AI 74/10 - 286/2012 du 3 août 2012</w:t>
      </w:r>
    </w:p>
    <w:p>
      <w:r>
        <w:t>IT: VD_FINDINFO AI 74/10 - 286/2012 del 3 agosto 2012</w:t>
      </w:r>
    </w:p>
    <w:p>
      <w:pPr>
        <w:pStyle w:val="Heading2"/>
      </w:pPr>
      <w:r>
        <w:t>Regeste</w:t>
      </w:r>
    </w:p>
    <w:p>
      <w:r>
        <w:t>NOUVELLE DEMANDE, RÉVISION{PRESTATION D'ASSURANCE}, AGGRAVATION DE L'ATTEINTE À LA SANTÉ, MESURE D'INSTRUCTION{ASSURANCE SOCIALE}, DÉCISION DE RENVOI | 28 LAI, 17 LPGA, 43 LPGA, 44 LPGA, 7 LPGA, 8 LPGA</w:t>
      </w:r>
    </w:p>
    <w:p>
      <w:pPr>
        <w:pStyle w:val="Heading2"/>
      </w:pPr>
      <w:r>
        <w:t>Erwägungen</w:t>
      </w:r>
    </w:p>
    <w:p>
      <w:r>
        <w:rPr>
          <w:b/>
        </w:rPr>
        <w:t>E. 3</w:t>
      </w:r>
    </w:p>
    <w:p>
      <w:r>
        <w:t>a) Aux termes de l’art. 17 al. 1 LPGA - lequel reprend l’ancien art. 41 LAI, abrogé lors de l'en vigueur de la LPGA -, lorsque le taux d’invalidité du bénéficiaire de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où de l’allocation pour impotent, ou lorsque des organes de l’assurance ont connaissance de faits ou ordonnent des mesures qui peuvent entraîner une modification importante du taux d’invalidité, du degré d’impotence ou du besoin de soins découlant de l’invalidité (cf. art. 87 aI. 2 RAI [Règlement du 17 janvier 1961 sur l’assurance-invalidité; RS 831.201] dans sa teneur en vigueur jusqu’au 31 décembre 2011; dès le 1 er janvier 2012, cf. art. 87 al. 1 let. a et b RAI).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ATF 130 V 343 consid. 3.5.2, p. 351; ATF 125 V 368 consid. 2 et la référence citée). b)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(let. c). En vertu de l'art. 28 al. 2 LAI, la rente est échelonnée selon le taux d'invalidité: l'assuré a le droit à un quart de rente si le taux d'invalidité est de 40% au moins, à une demi-rente pour un taux de 50% au moins, trois quarts de rente pour un taux de 60% au moins et une rente entière pour un taux d'invalidité de 70% au moins.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 c) Dans le domaine des assurances sociales, la procédure est régie par le principe inquisitoire. Ainsi,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L’office AI dispose à cet égard d’une grande liberté d’appréciation. Le devoir d’instruction s’étend jusqu’à ce que les faits nécessaires à l’examen des prétentions en cause soient suffisamment élucidés (TF 8C_364/2007 du 19 novembre 2007, consid. 3.2). Si l'OAI estime que l’état de fait déterminant n’est pas suffisamment établi, ou qu’il existe des doutes sérieux quant à la valeur probante des éléments recueillis, il doit mettre en oeuvre les mesures nécessaires au complément d’instruction (ATF 132 V 93; TF 8C_364/2007 du 19 novembre 2007, consid. 3.2).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Il faut toutefois relever qu’un rapport médical ne saurait être écarté au seul motif qu’il émane du médecin traitant ou d’un médecin se trouvant en rapport de subordination avec un assureur (TF 9C_607/2008 du 27 avril 2009, consid. 3.2).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w:t>
      </w:r>
    </w:p>
    <w:p>
      <w:r>
        <w:rPr>
          <w:b/>
        </w:rPr>
        <w:t>E. 4</w:t>
      </w:r>
    </w:p>
    <w:p>
      <w:r>
        <w:t>a) En l'espèce, pour déterminer si le recourant a le droit à une rente d'invalidité, suite à sa nouvelle demande du 19 février 2008, il y a lieu de comparer les faits - en particulier la situation médicale - tels qu'ils se présentaient à l'époque de la dernière décision du 20 janvier 2004 avec ceux existants lors de la décision du 19 janvier 2010; la décision du 20 janvier 2004 est en effet la dernière décision entrée en force qui reposait sur un examen matériel du droit à la rente, avec constatation des faits pertinents, appréciation des preuves et une comparaison des revenus conforme au droit (cf. supra consid. 3a). b) Le litige porte en particulier sur le point de savoir si l'état de santé du recourant s'est péjoré, pendant cette période déterminante, dans le sens qu'il aurait développé une pathologie psychique de nature invalidante. Pour le recourant, en substance, les pièces au dossier montrent qu'il souffre d'une dépression sévère ancienne et chronifiée depuis 2003; subsidiairement, il requiert une instruction complémentaire, sous la forme d'une expertise judiciaire, pour déterminer la nature, l'ampleur et la durabilité de ses atteintes psychiques. Quant à l'OAI, à la suite des différents rapports médicaux produits par le recourant à l'appui de ses écritures, il a convenu qu'une instruction médicale complémentaire était nécessaire, sous la forme d'une expertise pluridisciplinaire rhumato-psychiatrique neutre, afin de déterminer si l'état de santé, en particulier psychique, du recourant s'était aggravé depuis l'examen médical effectué par le SMR le 1 er avril 2009. Il préconisait notamment que les experts se prononcent sur le rapport d'examen du SMR du 7 avril 2009 et sur l'évolution de l'état de santé depuis lors. Les pièces médicales présentes au dossier sont contradictoires tant en ce qui concerne la nature que le début d'une éventuelle atteinte à la santé psychique du recourant. D'un côté, les divers rapports émanant du département de psychiatrie du [...] attestent de l'existence d'un trouble dépressif sévère, chronique, la situation se péjorant progressivement depuis 2003 et la capacité de travail du recourant étant ainsi nulle depuis 2003 (rapports médicaux du 5 octobre 2009 du Dr S.________ et de Mme K.________, ainsi que des 18 février 2010 et 21 juin 2010 du Dr T.________ et de Mme K.________); par ailleurs, dans leur rapport du 15 octobre 2007, les Drs H.________ et X.________ de la consultation de psychiatrie de [...], indiquaient que le recourant souffrait d'un trouble dépressif récurrent, épisode actuel sévère chronique, et que sa capacité de travail était nulle; le Dr T.________ et Mme K.________ ont de plus attesté d'une péjoration claire de l'état psychique du recourant à partir du début de sa prise en charge individuelle à la consultation de psychiatrie du [...], en août 2009. De l'autre côté, la Dresse O.________ du SMR a retenu, dans son rapport médical du 7 avril 2009, le diagnostic de majoration des symptômes physiques pour des raisons psychologiques, et considéré que la capacité de travail était totale d'un point de vue psychique. ba) En ce qui concerne le point de départ de l'éventuelle aggravation de l'état de santé, l'appréciation des médecins du service de psychiatrie du [...], selon laquelle le recourant présenterait un trouble dépressif sévère chronique depuis 2003, apparaît peu vraisemblable. En effet, outre qu'ils fixent ce point de départ en se basant uniquement sur les déclarations du recourant, ce dernier n'est suivi de manière régulière, au plan psychique, que depuis le mois de juin 2009 (d'abord dans le cadre d'une thérapie de groupe, puis à partir du mois d'août 2009 en thérapie individuelle). Au vu de ces éléments, on peut sérieusement douter de la fiabilité de leur appréciation s'agissant de l'évolution de l'état de santé du recourant depuis 2003. Quant au rapport du 15 octobre 2007 des Dr H.________ et X.________, retenant l'existence d'un trouble dépressif récurrent, épisode actuel sévère chronique, ces médecins estimant par ailleurs nulle la capacité de travail du recourant, il est peu convainquant. En effet, d'une part, le caractère récurrent du trouble ne peut être retenu, en l'absence d'un document médical attestant de l'existence d'antécédants psychiatriques avant ce diagnostic, comme l'ont expliqué les Dr W.________ et R.________ du SMR dans leur avis médical du 10 mars 2009, ainsi que la Dresse O.________ dans le rapport médical du 7 avril 2009. D'autre part, au sujet de la sévérité de l'état dépressif, les médecins du SMR ont expliqué que les symptômes mis en évidence par les Dr H.________ et X.________ ne remplissaient pas les critères cliniques de la CIM-10 permettant de qualifier de sévère un épisode dépressif. Compte tenu de ces explications, on ne saurait se fonder sur le rapport des Dr H.________ et X.________, qui contient trop d'imprécisions. Les médecins du SMR ont quant à eux retenu, dans leur rapport du 7 avril 2009, le diagnostic de majoration de symptômes physiques pour des raisons psychologiques, sans valeur invalidante. Cette appréciation emporte conviction. En effet, elle tient compte de l'anamnèse et des plaintes exprimées par le recourant et le diagnostic posé est motivé par une série d'observations cliniques: les médecins du SMR, après avoir constaté l'absence de symptômes signes d'atteintes psychiatriques graves (dépression majeure, anxiété généralisée, agoraphobie, phobie sociale, etc.), ont relevé la présence de quelques traits dépressifs discrets et noté que l'assuré était démonstratif, présentait une amplification verbale, ainsi que des plaintes somatiques accompagnées d'un sentiment de désarroi. Il résulte de ce qui précède que, s'agissant de la période antérieure au 1 er avril 2009, date de l'examen clinique et rhumatologique effectué par le SMR, l'existence d'une modification importante de l'état de santé psychique du recourant, susceptible d'avoir une influence sur son droit à la rente, n'est pas établi au degré de la vraisemblance prépondérante. bb) Toutefois, en ce qui concerne la période postérieure à cet examen, les spécialistes du service de psychiatrie du _____, en particulier le Dr T.________ et la psychologue T.________, ont clairement observé une péjoration de l'état psychique du recourant, depuis le début de son suivi individuel régulier (au mois d'août 2009); ils ont en effet attesté que ce dernier présentait de plus en plus de signes inquiétants, tels un isolement social presque complet, une cessation presque totale des quelques activités qu'il pratiquait encore jusqu'alors, un détachement affectif de plus en plus présent, un désintérêt pour ses proches, ainsi que l'occurrence de plus en plus régulière d'idées suicidaires avec scénarios de passages à l'acte (cf. leur rapport du 18 février 2010 et ainsi que le rapport du 5 octobre 2009 du Dr S.________ et de la psychologue K.________). Sur la base de ces éléments, il apparaît vraisemblable que l'état de santé du recourant se soit péjoré au point d'influencer sa capacité de travail; cependant, sur ce dernier point, on ne peut suivre ces praticiens qui estiment que le recourant présente une incapacité de travail totale depuis 2003, pour les motifs qui précèdent (supra, consid. 4 b/ba). Quant à leur dernière appréciation, selon laquelle le recourant se trouverait en incapacité totale de travailler depuis 1997 déjà, en raison d'un trouble somatoforme douloureux (cf. le rapport médical du 29 septembre 2010 du Dr P.________ et la psychologue K.________), elle ne peut être retenue, car la présence d'un tel trouble a été écarté de manière convaincante par le SMR dans le rapport médical du 7 avril 2009. Il s'ensuit que, comme l'intimé l'a du reste admis, des éléments importants permettent de soutenir que, depuis le mois d'avril 2009 - soit avant la date de la décision litigieuse - , l'état de santé psychique du recourant s'est aggravé au point d'influencer sa capacité de travail, de sorte qu'un complément d'instruction s'avère nécessaire sur ce point.</w:t>
      </w:r>
    </w:p>
    <w:p>
      <w:r>
        <w:rPr>
          <w:b/>
        </w:rPr>
        <w:t>E. 5</w:t>
      </w:r>
    </w:p>
    <w:p>
      <w:r>
        <w:t>Reste à examiner sous quelle forme ce complément d'instruction doit intervenir. a) Selon la jurisprudence, le juge cantonal qui estime que les faits ne sont pas suffisamment élucidés a en principe le choix entre deux solutions: il peut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autrement lorsqu'un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l'espèce, malgré la production par le recourant du rapport du 5 octobre 2009 du Dr S.________ et de Mme K.________, attestant de son suivi régulier dans un service psychiatrique depuis plusieurs mois et de la présence de symptômes inquiétants, l'OAI n'a pas jugé nécessaire d'instruire plus avant sur ces éléments avant de rendre sa décision; il s'est limité à suivre l'avis du SMR (du 6 janvier 2010) concluant qu'un examen complémentaire n'était pas nécessaire, alors que cet avis ne contenait pas d'analyse sérieuse de ces nouveaux éléments. Dans ces circonstances, on doit considérer que l'OAI a établi les faits de façon sommaire, de sorte qu'il y a lieu de lui renvoyer le dossier pour qu'il mette en œuvre une expertise au sens de l'art. 44 LPGA. Par ailleurs, le renvoi se justifie également compte tenu du dépôt d'une nouvelle demande de prestations AI et de l'ampleur de l'instruction complémentaire nécessaire.</w:t>
      </w:r>
    </w:p>
    <w:p>
      <w:r>
        <w:rPr>
          <w:b/>
        </w:rPr>
        <w:t>E. 6</w:t>
      </w:r>
    </w:p>
    <w:p>
      <w:r>
        <w:t>a) Il résulte de ce qui précède que le recours, bien fondé, est admis. La décision attaquée est annulée et la cause renvoyée à l'Office de l'assurance-invalidité pour le canton de Vaud, pour instruction complémentaire sous la forme d'une expertise rhumatologique et psychiatrique, telle que préconisée par l'OAI, conformément à l'art. 44 LPGA. b) Des frais judiciaires à hauteur de 400 francs sont mis à la charge de l'OAI qui succombe (art. 69 al. 1bis LAI). Obtenant gain de cause, le recourant a le droit à des dépens, fixés, compte tenu de l'importance de la cause et de la complexité du litige (art. 61 let. g LPGA et art. 55 LPA-VD), à 2'000 francs (deux mille francs) et mis à la charge de l'OAI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