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66/15 - 288/2016 vom 7. November 2016</w:t>
      </w:r>
    </w:p>
    <w:p>
      <w:r>
        <w:t>VD Tribunal cantonal, 2016-11-07, FR</w:t>
      </w:r>
    </w:p>
    <w:p>
      <w:r>
        <w:rPr>
          <w:b/>
        </w:rPr>
        <w:t xml:space="preserve">Quelle: </w:t>
      </w:r>
      <w:r>
        <w:t>https://mcp.opencaselaw.ch/entscheid/vd_findinfo_AI_66_15_-_288_2016</w:t>
      </w:r>
    </w:p>
    <w:p>
      <w:r>
        <w:t>FR: VD_FINDINFO AI 66/15 - 288/2016 du 7 novembre 2016</w:t>
      </w:r>
    </w:p>
    <w:p>
      <w:r>
        <w:t>IT: VD_FINDINFO AI 66/15 - 288/2016 del 7 novembre 2016</w:t>
      </w:r>
    </w:p>
    <w:p>
      <w:pPr>
        <w:pStyle w:val="Heading2"/>
      </w:pPr>
      <w:r>
        <w:t>Regeste</w:t>
      </w:r>
    </w:p>
    <w:p>
      <w:r>
        <w:t>DÉCISION DE RENVOI, ASSISTANCE JUDICIAIRE, ATTEINTE À LA SANTÉ PHYSIQUE, ATTEINTE À LA SANTÉ PSYCHIQUE, ALCOOLISME, TOXICOMANIE, RENTE D'INVALIDITÉ, DROIT À LA PRESTATION D'ASSURANCE | 4 al. 1 LAI, 44 LPGA, 6 LPGA, 7 al. 1 LPGA, 8 al. 1 LPGA</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w:t>
      </w:r>
    </w:p>
    <w:p>
      <w:r>
        <w:rPr>
          <w:b/>
        </w:rPr>
        <w:t>E. 6</w:t>
      </w:r>
    </w:p>
    <w:p>
      <w:r>
        <w:t>En définitive, le recours se révèle bien fondé et doit par conséquent être admis dans la mesure de sa recevabilité (cf. considérant 2a supra), ce qui entraîne l’annulation de la décision rendue le 18 février 2015 par l’office AI, la cause lui étant renvoyée pour complément d’instruction et nouvelle décision dans le sens des considérants.</w:t>
      </w:r>
    </w:p>
    <w:p>
      <w:r>
        <w:rPr>
          <w:b/>
        </w:rPr>
        <w:t>E. 7</w:t>
      </w:r>
    </w:p>
    <w:p>
      <w:r>
        <w:t>a) Le recourant a obtenu, au titre de l’assistance judiciaire, la commission d’office d’un avocat en la personne de Me Laure-Anne Suter, à compter du 17 mars 2015 jusqu’au terme de la présente procédure (art. 118 al. 1 let. c CPC [code fédéral de procédure civile du 19 décembre 2008 ; RS 272], applicable par renvoi de l’art. 18 al. 5 LPA-VD). Lorsqu'il y a lieu de fixer l'indemnité due au conseil juridique commis d'office, celui-ci peut préalablement produire une liste détaillée de ses opérations et une liste de ses débours (art. 3 al. 1 RAJ [règlement cantonal vaudois du 7 décembre 2010 sur l’assistance judiciaire en matière civile ; RSV 211.02.3], applicable par renvoi de l’art. 18 al. 5 LPA-VD) ; en l'absence de liste détaillée des opérations, le défraiement est fixé équitablement sur la base d'une estimation des opérations nécessaires pour la conduite du procès (al. 2). En l’espèce, Me Suter a déposé en date du 8 juillet 2016 le relevé des opérations effectuées à compter du 2 juillet 2015 dans le cadre de la présente procédure, ce qui représentait un total de 12 heures et 40 minutes. Quant aux débours, ils s’élevaient à 108 fr. 20, TVA par 8 fr. comprise. b) Ayant procédé par l’intermédiaire d’un mandataire professionnel, le recourant, qui obtient gain de cause, a droit à une indemnité de dépens qu’il convient, compte tenu de l’importance et de la complexité du litige, de fixer à 2'600 fr. à la charge de l’office intimé (art. 61 let. g LPGA ; 55 LPA-VD et 11 al. 2 TFJDA [tarif cantonal vaudois du 28 avril 2015 des frais judiciaires et des dépens en matière administrative ; RSV 173.36.5.1]), lequel, débouté, supportera les frais de la cause, arrêtés à 400 fr. (art. 69 al. 1 bis LAI ; 49 al. 1 LPA-VD et 4 al. 2 TFJDA). Compte tenu de l’allocation de dépens, dont la perception est certaine, il n’est pas dû d’indemnité au conseil d’office (art. 4 al. 1 RAJ, applicable par renvoi de l’art. 18 al. 5 LPA-VD). La Cour de céans n’aurait de toute façon pas fixé d’indemnité plus élevée dans le cadre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