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640/08 - 66/2011 vom 26. Januar 2011</w:t>
      </w:r>
    </w:p>
    <w:p>
      <w:r>
        <w:t>VD Tribunal cantonal, 2011-01-26, FR</w:t>
      </w:r>
    </w:p>
    <w:p>
      <w:r>
        <w:rPr>
          <w:b/>
        </w:rPr>
        <w:t xml:space="preserve">Quelle: </w:t>
      </w:r>
      <w:r>
        <w:t>https://mcp.opencaselaw.ch/entscheid/vd_findinfo_AI_640_08_-_66_2011</w:t>
      </w:r>
    </w:p>
    <w:p>
      <w:r>
        <w:t>FR: VD_FINDINFO AI 640/08 - 66/2011 du 26 janvier 2011</w:t>
      </w:r>
    </w:p>
    <w:p>
      <w:r>
        <w:t>IT: VD_FINDINFO AI 640/08 - 66/2011 del 26 gennaio 2011</w:t>
      </w:r>
    </w:p>
    <w:p>
      <w:pPr>
        <w:pStyle w:val="Heading2"/>
      </w:pPr>
      <w:r>
        <w:t>Regeste</w:t>
      </w:r>
    </w:p>
    <w:p>
      <w:r>
        <w:t>ÉVALUATION DE L'INVALIDITÉ, MÉTHODE MIXTE D'ÉVALUATION | 28 LAI, 28a LAI, 16 LPGA, 8 LPGA</w:t>
      </w:r>
    </w:p>
    <w:p>
      <w:pPr>
        <w:pStyle w:val="Heading2"/>
      </w:pPr>
      <w:r>
        <w:t>Erwägungen</w:t>
      </w:r>
    </w:p>
    <w:p>
      <w:r>
        <w:rPr>
          <w:b/>
        </w:rPr>
        <w:t>E. 3</w:t>
      </w:r>
    </w:p>
    <w:p>
      <w:r>
        <w:t>et les références). c) L'évaluation de l'invalidité peut être effectuée selon trois méthodes, entre lesquelles il y a lieu d'opter lors du premier examen du droit d'un assuré à des prestations, de même que lors d'une révision de celui-ci: méthode générale de la comparaison des revenus, méthode mixte, méthode spécifique. Le choix entre ces méthodes dépend du statut de l'intéressé: assuré exerçant une activité lucrative à temps complet, assuré exerçant une activité lucrative à temps partiel et assuré non-actif. Est en principe déterminante l'activité qu'exercerait l'assuré, s'il n'était pas atteint dans sa santé (ATF 117 V 194; RCC 1989 p. 125).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al. 2ter LAI en corrélation avec les art. 27bis RAI [règlement du 17 janvier 1961 sur l'assurance-invalidité, RS 831.201] et 16 LPGA, ainsi que l'art. 28 al. 2bis LAI en corrélation avec les art. 27 RAI et</w:t>
      </w:r>
    </w:p>
    <w:p>
      <w:r>
        <w:rPr>
          <w:b/>
        </w:rPr>
        <w:t>E. 3.3</w:t>
      </w:r>
    </w:p>
    <w:p>
      <w:r>
        <w:t>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En l’espèce, les déclarations de la recourante à l’OAI et les rapports de l’employeur constituent un moyen de preuve pertinent – vu l'application sur ce point du critère de la vraisemblance prépondérante - pour déduire la volonté hypothétique de l'assurée. Cet élément aurait dû être pris en compte par l’office intimé. Il n’apparaît en outre pas au vu des pièces du dossier que la situation financière de l’assurée se soit modifiée. Elle n'a au demeurant pas allégué ni cherché à établir par la suite en cours de procédure que les revenus tirés d'une activité exercée à 50% ne lui auraient pas suffi pour couvrir ses besoins. En conséquence, l'invalidité de l’assurée aurait dû être évaluée au moyen de la méthode mixte applicable aux personnes qui exercent une activité à temps partiel (art. 28a LAI). 5. a) Il résulte de ce qui précède que le recours est fondé et qu’il convient d’annuler la décision attaquée et de renvoyer la cause à l’OAI pour qu’il procède à une évaluation au moyen de la méthode mixte après enquête ménagère (cf. notamment, à cet égard, la circulaire sur l'invalidité et l'impotence dans l'assurance invalidité [CIIAI], valable dès le 1 er janvier 2010, ch. 3081 ss) puis rende une nouvelle décision. b) Il reste à statuer sur les frais et les dépens (art. 91 LPA-VD, applicable par renvoi de l'art. 99 LPA-VD). En l'espèce, la recourante obtient gain de cause et n'aura donc pas à supporter de frais judiciaires. Dans la mesure où elle n’a pas obtenu gain de cause avec l’assistance d’un mandataire professionnel, elle n’a pas droit à des dépens (art. 61 let. g LPGA; art. 55 LPA-VD).</w:t>
      </w:r>
    </w:p>
    <w:p>
      <w:r>
        <w:rPr>
          <w:b/>
        </w:rPr>
        <w:t>E. 8</w:t>
      </w:r>
    </w:p>
    <w:p>
      <w:r>
        <w:t>al. 3 LPGA; cf. TF 9C_713/2007 du 8 août 2008). L'invalidité totale de la personne assurée résultera de l'addition des taux d'invalidité pondérés dans les deux domaines (ATF 130 V 393 consid. 3.3; 125 V 146). Ces principes n'ont pas été modifiés à la suite de l'entrée en vigueur de la 5e révision de la LAI, le 1er janvier 2008 (cf. art. 28a LAI). Selon l'art. 28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4. En l’occurrence, l’office intimé a retenu que l’assurée aurait travaillé à plein temps, et, partant, a appliqué la méthode générale de comparaison des revenus. Or la recourante a indiqué à deux reprises à l’OAI, les 15 décembre 2006 et</w:t>
      </w:r>
    </w:p>
    <w:p>
      <w:r>
        <w:rPr>
          <w:b/>
        </w:rPr>
        <w:t>E. 9</w:t>
      </w:r>
    </w:p>
    <w:p>
      <w:r>
        <w:t>janvier 2007, que si elle avait été en bonne santé, elle aurait travaillé à temps partiel à raison de 50 pour-cent. Les questionnaires produits par l’employeur confirment au demeurant que la recourante exerçait une activité à temps partiel, qui paraît également être justifiée par le fait qu’elle est mère de deux enfants nées en 2002 et 2005. La réponse apportée à la question de savoir à quel taux d'activité la personne assurée travaillerait sans atteinte à la santé dépend de l'ensemble des circonstances personnelles, familiales, sociales, financières et professionnelles (ATF 130 V 393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