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62/09 - 408/2011 vom 1. September 2011</w:t>
      </w:r>
    </w:p>
    <w:p>
      <w:r>
        <w:t>VD Tribunal cantonal, 2011-09-01, FR</w:t>
      </w:r>
    </w:p>
    <w:p>
      <w:r>
        <w:rPr>
          <w:b/>
        </w:rPr>
        <w:t xml:space="preserve">Quelle: </w:t>
      </w:r>
      <w:r>
        <w:t>https://mcp.opencaselaw.ch/entscheid/vd_findinfo_AI_62_09_-_408_2011</w:t>
      </w:r>
    </w:p>
    <w:p>
      <w:r>
        <w:t>FR: VD_FINDINFO AI 62/09 - 408/2011 du 1 septembre 2011</w:t>
      </w:r>
    </w:p>
    <w:p>
      <w:r>
        <w:t>IT: VD_FINDINFO AI 62/09 - 408/2011 del 1 settembre 2011</w:t>
      </w:r>
    </w:p>
    <w:p>
      <w:pPr>
        <w:pStyle w:val="Heading2"/>
      </w:pPr>
      <w:r>
        <w:t>Regeste</w:t>
      </w:r>
    </w:p>
    <w:p>
      <w:r>
        <w:t>MOTIF DE RÉVISION, RENTE D'INVALIDITÉ, STATUT DE L'ASSURÉ{ASSURANCE SOCIALE}, MÉTHODE MIXTE D'ÉVALUATION, RECONSIDÉRATION | 17 LPGA, 53 al. 2 LPGA</w:t>
      </w:r>
    </w:p>
    <w:p>
      <w:pPr>
        <w:pStyle w:val="Heading2"/>
      </w:pPr>
      <w:r>
        <w:t>Erwägungen</w:t>
      </w:r>
    </w:p>
    <w:p>
      <w:r>
        <w:rPr>
          <w:b/>
        </w:rPr>
        <w:t>E. 5</w:t>
      </w:r>
    </w:p>
    <w:p>
      <w:r>
        <w:t>% 0 % 0 % Pas de problème. 6.2 Alimentation</w:t>
      </w:r>
    </w:p>
    <w:p>
      <w:r>
        <w:rPr>
          <w:b/>
        </w:rPr>
        <w:t>E. 10</w:t>
      </w:r>
    </w:p>
    <w:p>
      <w:r>
        <w:t>50% Préparation/cuisson/service/ nettoyage de la cuisine/provisions 40 % 30 %</w:t>
      </w:r>
    </w:p>
    <w:p>
      <w:r>
        <w:rPr>
          <w:b/>
        </w:rPr>
        <w:t>E. 12</w:t>
      </w:r>
    </w:p>
    <w:p>
      <w:r>
        <w:t>% Mme M.________ fait tous les repas, et déclare qu’elle est en mesure de remplir le lave vaisselle et de le vider. Le mari fait tous le reste: il met et débarrasse la table, nettoie les plans de travail, les sols et les placards. 6.3 Entretien du logement 5 - 20% Epousseter/aspirateur/entretien des sols/nettoyer les vitres/faire les lits 20 % 25 % 5 % Le mari fait tous les travaux qui nécessitent de se pencher et les gros travaux de nettoyage. L’assurée arrive à secouer le duvet et le couple change la literie ensemble et tourne le matelas. Mme M.________ arrive à laver le lavabo et le miroir de la salle de bains. Notre dame ne fait les travaux du sol ni nettoyer la baignoire ou les vitres. 6.4 Emplettes et courses diverses 5-10% Poste/assurances/services officiels 10 % 0 % 0 % Les courses sont faites ensemble. Chacun fait les paiements et les démarches administratives. 6.5 Lessive et entretien des vêtements 5 - 20% Laver/suspendre/ramasser/repasser/raccommoder/nettoyer les chaussures 20 % 0 % 0 % L’époux aide pour descendre et remonter les corbeilles au sous-sol. Cette dame arrive à repasser par petites étapes. 6.6 Soins aux enfants ou aux autres membres de la famille 0 - 30% 0 % 0 % 0 % Néant. 6.7 Divers              0 - 50% Soins infirmiers/entretien des plantes et du jardin/garde des animaux domestiques/confection de vêtements/activité d'utilité publique/formation complémentaire/Création artistique 5 % 0 % 0 % 2 petites filles de 15 mois et 4 ans ½ et l’assurée arrive à les garder une demi journée. Du côté de Monsieur une petite fille de 4 ans. 1 chatte qui ne sort pas: la litière est changée par le couple. Pas de bénévolat Total 100 %</w:t>
      </w:r>
    </w:p>
    <w:p>
      <w:r>
        <w:rPr>
          <w:b/>
        </w:rPr>
        <w:t>E. 17</w:t>
      </w:r>
    </w:p>
    <w:p>
      <w:r>
        <w:t>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la rente peut être révisée non seulement en cas de modification sensible de l’état de santé, mais aussi lorsque celui-ci est resté en soi le même, mais que ses conséquences sur la capacité de gain ont subi un changement important (ATF 133 V 545 consid. 6.1; 130 V 349 consid. 3.5; 113 V 275 consid. 1a; voir également ATF 112 V 372 consid. 2b et 390 consid. 1b). Une révision peut également se justifier, selon une jurisprudence constante, lorsqu'un autre mode d'évaluation de l'invalidité est applicable, par exemple lorsque l'assuré passe d'un statut d’assuré exerçant une activité lucrative à temps complet à celui d'assuré exerçant une activité lucrative à temps partiel ou d'assuré non actif (ATF 119 V 475 consid. 1b/aa; 113 V 273 consid. 1a et les références; TFA I 707/04 du 2 août 2005, consid. 3.2.2).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c) En l’espèce, l’OAI a appliqué la méthode mixte d'évaluation en retenant pour la recourante le statut d’une assurée exerçant une activité lucrative à temps partiel depuis 2004. Il s’est référé aux renseignements donnés par l’assurée le 28 février 2007 sur le formulaire 531 bis, semblables à ceux obtenus dans le cadre de l’enquête ménagère. Cette modification, retenue par l’OAI, ne correspond toutefois pas à un changement concret important dans l’organisation de la vie domestique de la recourante : - Le couple qu'elle forme avec son second époux n'a pas eu d’enfants et ceux issus de son premier mariage étaient déjà de jeunes adultes au début du droit à la rente. - La situation matérielle du foyer ne s’est pas notablement modifiée, sous réserve du fait que son mari est à la retraite, ce qui laisse plutôt penser qu’au vu de la réduction des revenus du couple, la recourante, en bonne santé, n’aurait vraisemblablement pas réduit son taux d’activité. - Enfin, le changement d'état civil de la recourante, du fait de son remariage en 2004, ne justifie pas à lui seul de considérer qu’elle aurait réduit son taux d'activité. Par ailleurs, considérant les revenus dont dispose le couple, le mariage n'a certainement pas amélioré notablement la situation financière de la recourante. Lors de l’examen initial du droit à la rente en 1997, la recourante a indiqué, sur la base du formulaire 531 bis du 3 mars 1997, qu’en bonne santé, elle travaillerait hors de son ménage pour motifs financiers (séparation d’avec son époux) sans en préciser toutefois le taux. Du rapport médical du Dr G.________ du 4 avril 1997, il ne ressort aucune évolution particulière par rapport à son rapport médical du 2 juin 1996, si ce n’est une procédure de divorce en cours. Sur la base de ces déclarations, l’OAI a considéré que dès décembre 1996, la recourante était active à 100 % du fait de sa séparation. Lors des révisions ultérieures, en 1998 et 2003, l’assurée n’a pas été requise de se prononcer sur son taux hypothétique d'activité professionnelle en cas de bonne santé et l’OAI qui a continué de considérer que la recourante, en bonne santé, exercerait son activité professionnelle à 100 %, n’a pas modifié son appréciation. Lors d’une troisième procédure de révision, menée en 2007, l’assurée a précisé au moyen de la formule 531 bis que son taux d’activité serait de " 50 % minimum " par nécessité financière et qu’elle aurait travaillé à l’extérieur depuis son divorce en 1997. Elle a précisé également qu’avant son atteinte à la santé elle travaillait dans l’entreprise de son premier époux à raison de 20 heures par semaine. C’est sur la base de ces déclarations que l’enquêtrice, dans son rapport d’enquête ménagère,  propose à l’OAI de retenir le statut de 50 % active et 50 % ménagère. La lecture du formulaire 531 bis de 2007 confirme que les circonstances ne se sont pas modifiées entre l’examen initial et la dernière révision. Dans la procédure de recours, l’assurée a soutenu implicitement que, compte tenu des circonstances qui étaient restées inchangées, c’est à tort que l’OAI avait interprété ses déclarations selon lesquelles elle travaillerait au minimum à 50% comme une modification de son statut. Le courrier de la recourante à l'OAI du 8 décembre 2008 ne modifie en rien cette appréciation. Au vu des éléments exposés ci-dessus, il faut considérer que la situation de la recourante n’ayant pas évolué, il n’existe aucun motif de révision au sens de l'art. 17 LPGA, ni selon l'art. 53 al. 1 LPGA, la situation de fait n’ayant pas été décrite de façon inexacte dans les différentes décisions maintenant le droit à une rente entière. Cela étant, il convient d'examiner si les conditions d'une reconsidération sont réunies. 5. a)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w:t>
      </w:r>
    </w:p>
    <w:p>
      <w:r>
        <w:rPr>
          <w:b/>
        </w:rPr>
        <w:t>E. 18</w:t>
      </w:r>
    </w:p>
    <w:p>
      <w:r>
        <w:t>ad art. 53).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b) Dans le cadre de l'instruction ayant conduit l'OAI à rendre la décision initiale du 5 juin 1997 octroyant à la recourante une demi-rente du 1 er septembre 1995 au 31 mai 1996 puis une rente entière dès le 1 er mai 1996, il a été établi que la recourante avait travaillé dans l'entreprise d'horticulture de son époux depuis le 1 er octobre 1988 à raison de 4-5 heures par jour, 4-5 jours par semaine, cet horaire étant dû à la pénibilité du travail et l’importance des charges à porter. Après avoir informé l'OAI qu'elle était séparée de son époux depuis le 1 er décembre 1996, la recourante n’a pas répondu clairement au questionnaire ad hoc que lui avait envoyé l’OAI puisqu’elle a indiqué, qu’en bonne santé, elle travaillerait en-dehors de son ménage par nécessité financière tout en précisant que, ne connaissant pas l'évolution de son état de santé, il lui était impossible de se prononcer sur la question du pourcentage. L’OAI a toutefois considéré, qu’en raison du divorce de la recourante, cette dernière aurait travaillé à plein temps par nécessité financière. c)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arrêt du 12 février 2010, cons. 3.2). Les constatations faites par l’intimé lors de cet examen initial ne sont pas critiquables et certainement pas manifestement erronées. Cela vaut d'autant que, pendant la durée du mariage, la recourante avait, certes, travaillé à temps partiel, mais que dans le questionnaire de l'employeur, il était indiqué comme motifs de ce temps partiel : "travail pénible, trop de charges à porter (…)". La demande initiale de prestations AI était d’ailleurs motivée par des problèmes de dos. Dans ces conditions, il n'y a pas lieu aujourd'hui de considérer que l'OAI a fait à l'époque un usage manifestement erroné de son pouvoir d'appréciation ou violé le droit fédéral en renonçant à procéder à des investigations complémentaires sur le plan du statut de l'assurée. 6. a) Il résulte de ce qui précède que le recours, bien fondé, doit être admis, et la décision de révision rendue par l'OAI le 11 décembre 2008 annulée, la rente entière d'invalidité devant être maintenue. b) Le présent arrêt est rendu sans frais en application de l'art. 52 al. 1 LPA-VD qui soustrait la Confédération et l'Etat au paiement de frais de justice, quant bien même, en dérogation à l'art. 61 let. a LPGA, la procédure de recours en matière d'invalidité n'est pas gratuite (art. 69 al. 1bis LAI). Obtenant gain de cause, la recourante a droit à des dépens, à la charge de l'OAI, qu'il y a lieu d'arrêter à 2'000 fr., eu égard au double échange d'écritures et à la complexité de la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