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59/14 - 248/2017 vom 4. September 2017</w:t>
      </w:r>
    </w:p>
    <w:p>
      <w:r>
        <w:t>VD Tribunal cantonal, 2017-09-04, FR</w:t>
      </w:r>
    </w:p>
    <w:p>
      <w:r>
        <w:rPr>
          <w:b/>
        </w:rPr>
        <w:t xml:space="preserve">Quelle: </w:t>
      </w:r>
      <w:r>
        <w:t>https://mcp.opencaselaw.ch/entscheid/vd_findinfo_AI_59_14_-_248_2017</w:t>
      </w:r>
    </w:p>
    <w:p>
      <w:r>
        <w:t>FR: VD_FINDINFO AI 59/14 - 248/2017 du 4 septembre 2017</w:t>
      </w:r>
    </w:p>
    <w:p>
      <w:r>
        <w:t>IT: VD_FINDINFO AI 59/14 - 248/2017 del 4 settembre 2017</w:t>
      </w:r>
    </w:p>
    <w:p>
      <w:pPr>
        <w:pStyle w:val="Heading2"/>
      </w:pPr>
      <w:r>
        <w:t>Regeste</w:t>
      </w:r>
    </w:p>
    <w:p>
      <w:r>
        <w:t>RESTITUTION{EN GÉNÉRAL} | 25 LPGA</w:t>
      </w:r>
    </w:p>
    <w:p>
      <w:pPr>
        <w:pStyle w:val="Heading2"/>
      </w:pPr>
      <w:r>
        <w:t>Erwägungen</w:t>
      </w:r>
    </w:p>
    <w:p>
      <w:r>
        <w:rPr>
          <w:b/>
        </w:rPr>
        <w:t>E. 5</w:t>
      </w:r>
    </w:p>
    <w:p>
      <w:r>
        <w:t>En l’occurrence, aux termes de son arrêt du 12 septembre 2016, la juridiction cantonale a considéré que le recourant avait non seulement omis de renseigner l’OAI sur ses activités, mais qu’il l'avait également induit en erreur en déclarant faussement lors des révisions de la rente qu’il était sans activité, alors même que s'il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 L’arrêt précité étant entré en force, la juridiction de céans ne saurait revenir sur sa décision dans le cadre de la présente procédure judiciaire (cf. dans ce sens TF 9C_457/2013 du 26 décembre 2013 consid. 6.2 avec les références citées). Plus particulièrement, il ne saurait être question de revenir à ce stade sur le principe même du caractère indu des prestations versées au recourant depuis le 1 er juillet 1999, ce point ayant été définitivement tranché. Partant, les arguments soulevés sur ce point par l’intéressé sont irrelevants. Il convient d’examiner en conséquence exclusivement la problématique de la restitution en tant que telle, durant la période – seule déterminante en l’espèce – du 1 er juillet 1999 au 31 octobre 2013. Quant à la question d’une remise éventuelle de l’obligation de restituer, subordonnée à la bonne foi et à la situation financière difficile de celui qui en fait la demande (cf. art. 4 al. 1 OPGA), elle devra faire l’objet – le cas échéant – d’une procédure subséquente.</w:t>
      </w:r>
    </w:p>
    <w:p>
      <w:r>
        <w:rPr>
          <w:b/>
        </w:rPr>
        <w:t>E. 6</w:t>
      </w:r>
    </w:p>
    <w:p>
      <w:r>
        <w:t>Il convient à ce stade d’examiner l’étendue de l’obligation de restituer. En effet, si l’arrêt cantonal du 12 septembre 2016 a confirmé le caractère indu des prestations versées en trop à l’assuré entre le 1 er juillet 1999 et le 31 octobre 2013, cela ne signifie pas encore pour autant que la restitution doive porter sur l’ensemble des montants perçus à tort durant tout ce laps de temps. a) La révision rétroactive fondée sur les art. 17 al. 1 LPGA et 88 bis al. 2 let. b a RAI est subordonnée à l’existence d’un lien de causalité entre le comportement qui doit être sanctionné (violation de l’obligation de renseigner) et le dommage survenu (prestations touchées à tort) et que ce lien est interrompu lors de l’annonce d’un changement de l'état de fait ayant une incidence sur le droit à la rente, avec pour conséquence que les rentes perçues à tort jusqu’au moment d’une annonce tardive sont en principe sujettes à restitution mais que, dès le mois qui suit cette annonce, les rentes qui ont continué d’être accordées ne doivent, en règle générale, plus être restituées (cf. consid. 3b supra). En l'occurrence l'OAI a pu prendre connaissance du dossier pénal et en particulier du procès-verbal d'audition du recourant et des investigations de la police le 15 octobre 2013. L’OAI a ainsi été en mesure d’appréhender clairement la situation au plus tôt dès cette date. Le lien de causalité a donc été interrompu au mois d'octobre 2013. Ainsi la restitution peut être demandée pour les rentes versées jusque et y compris octobre 2013. b)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L’art. 25 al. 2 phr. 2 LPGA énonce en outre que, si la créance naît d'un acte punissable pour lequel le droit pénal prévoit un délai plus long, celui-ci est déterminant. Les délais de péremption prévus à l’art. 25 al. 2 LPGA ne peuvent pas être interrompus. Lorsque l'autorité a accompli l'acte conservatoire que prescrit la loi, le délai se trouve sauvegardé une fois pour toutes (cf. TF 9C_400/2016 du 2 novembre 2016 consid. 3.1 avec les références citées). En l'espèce, il n'est pas contesté que le délai d'un an a été respecté. En effet, ce n'est qu'en octobre 2013 que les rentes versées par l'OAI sont apparues clairement indues. En outre, le montant du dommage lui a été communiqué par la caisse dans un courrier du 22 octobre 2013. Or la décision de restitution a été rendue quelques mois plus tard le 17 février 2014. La créance est née d'un acte punissable, à savoir une escroquerie (cf. art. 146 CP ; cf. jugement du Tribunal correctionnel de l'arrondissement de C.________ du 29 mars 2017), pour lequel le délai de péremption est de 15 ans (cf. art. 97 al. 1 let. b CP). C'est ainsi à juste titre que la restitution porte sur les paiements effectués dès le 1 er juillet 1999. c) Au vu de ce qui précède, le recourant peut donc se voir réclamer les prestations perçues à tort du 1 er juillet 1999 au 31 octobre 2013. Le montant dû en conséquence s'élevait, à la date de la décision attaquée, à 255'260 fr. 70. Ce montant n'est pas contesté par le recourant. On ne voit d'ailleurs aucun motif de s'en écarter. Dès lors que la Cour de céans statue d'après l'état de fait existant au moment où la décision litigieuse a été rendue (cf. consid. 3 supra), elle ne saurait tenir compte de remboursements ultérieurs de ce montant.</w:t>
      </w:r>
    </w:p>
    <w:p>
      <w:r>
        <w:rPr>
          <w:b/>
        </w:rPr>
        <w:t>E. 7</w:t>
      </w:r>
    </w:p>
    <w:p>
      <w:r>
        <w:t>a) En définitive, le recours, mal fondé, doit être rejeté et la décision attaquée confirmée.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en tant que la présente contestation ne porte pas sur l'octroi ou le refus de prestations de l'AI, il n'y a pas lieu de déroger ici à l'art. 61 let. a LPGA (cf. art. 69 al. 1 bis LAI a contrario ), de sorte que le présent arrêt doit être rendu sans frais. Il n'y a au demeurant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24 août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2'872 fr. 75,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