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59/09 - 106/2010 vom 2. Februar 2010</w:t>
      </w:r>
    </w:p>
    <w:p>
      <w:r>
        <w:t>VD Tribunal cantonal, 2010-02-02, FR</w:t>
      </w:r>
    </w:p>
    <w:p>
      <w:r>
        <w:rPr>
          <w:b/>
        </w:rPr>
        <w:t xml:space="preserve">Quelle: </w:t>
      </w:r>
      <w:r>
        <w:t>https://mcp.opencaselaw.ch/entscheid/vd_findinfo_AI_59_09_-_106_2010</w:t>
      </w:r>
    </w:p>
    <w:p>
      <w:r>
        <w:t>FR: VD_FINDINFO AI 59/09 - 106/2010 du 2 février 2010</w:t>
      </w:r>
    </w:p>
    <w:p>
      <w:r>
        <w:t>IT: VD_FINDINFO AI 59/09 - 106/2010 del 2 febbraio 2010</w:t>
      </w:r>
    </w:p>
    <w:p>
      <w:pPr>
        <w:pStyle w:val="Heading2"/>
      </w:pPr>
      <w:r>
        <w:t>Regeste</w:t>
      </w:r>
    </w:p>
    <w:p>
      <w:r>
        <w:t>RECONSIDÉRATION, SUPPRESSION DE LA PRESTATION D'ASSURANCE, DEMI-RENTE, APPLICATION DU DROIT, RECTIFICATION DE LA DÉCISION | 53 al. 2 LPGA</w:t>
      </w:r>
    </w:p>
    <w:p>
      <w:pPr>
        <w:pStyle w:val="Heading2"/>
      </w:pPr>
      <w:r>
        <w:t>Erwägungen</w:t>
      </w:r>
    </w:p>
    <w:p>
      <w:r>
        <w:rPr>
          <w:b/>
        </w:rPr>
        <w:t>E. 2</w:t>
      </w:r>
    </w:p>
    <w:p>
      <w:r>
        <w:t>Quelles activités lui sont accessibles ? Compte tenu de ses limitations physiques, il est en mesure d'assumer une activité à l'établi, derrière une machine-outil, surveillance de machine de production, travaux de conditionnement. Toutes ces activités doivent permettre l'alternance des positions. Il présente également de bonnes dispositions pour œuvrer en tant que commercial (vente, représentation, etc).</w:t>
      </w:r>
    </w:p>
    <w:p>
      <w:r>
        <w:rPr>
          <w:b/>
        </w:rPr>
        <w:t>E. 3</w:t>
      </w:r>
    </w:p>
    <w:p>
      <w:r>
        <w:t>a) Aux termes de l’art. 17 al. 1 LPGA (qui reprend l'ancien art. 41 LAI, abrogé lors de l'entrée en vigueur de la LPGA), lorsque le taux d’invalidité du bénéficiaire du droit à la rente subit une modification notable, la rente est, d’office ou sur demande, révisée pour l’avenir, à savoir augmentée ou réduite en conséquence, ou encore supprimée. 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(art. 87 al. 2 RAI [règlement du 17 janvier 1961 sur l'assurance-invalidité, RS 831.201]). Tout changement important des circonstances propres à influencer le degré d’invalidité, et donc le droit à la rente, peut motiver une révision selon les dispositions précitées; la rente peut être révisée non seulement en cas de modification sensible de l’état de santé, mais aussi lorsque celui-ci est resté en soi le même, mais que ses conséquences sur la capacité de gain ont subi un changement important (ATF 133 V 545 consid. 6.1, 130 V 343 consid.</w:t>
      </w:r>
    </w:p>
    <w:p>
      <w:r>
        <w:rPr>
          <w:b/>
        </w:rPr>
        <w:t>E. 3.5</w:t>
      </w:r>
    </w:p>
    <w:p>
      <w:r>
        <w:t>p. 349, 113 V 273 consid. 1a; voir également ATF 112 V 371 consid. 2b et 387 consid. 1b). Une appréciation différente d'une situation demeurée inchangée pour l'essentiel ne constitue pas un motif de révision (TFA I 491/03 du 20 novembre 2003 consid. 2.2 in fine et les références). b) Si les conditions de l'art. 17 LPGA font défaut, la décision de rente peut encore être modifiée si les exigences prévues à l'art. 53 al. 2 LPGA pour la reconsidération d'une décision administrative entrée en force sont réalisées (ATF 125 V 368 consid. 2; TF 9C_860/2008 du 19 février 2009 consid. 2.2). Selon l'art. 53 al. 2 LPGA, qui codifie la jurisprudence antérieure à son entrée en vigueur (cf., par exemple, ATF 127 V 466 consid. 2c p. 469 et les références), l'assureur peut revenir sur les décisions formellement passées en force lorsqu'elles sont manifestement erronées et que leur rectification revêt une importance notable. Pour juger s'il y a lieu de reconsidérer une décision au motif qu'elle est indubitablement erronée, il faut se fonder sur la situation juridique qui existait lorsque la décision a été rendue compte tenu de la pratique en vigueur à l'époque (ATF 125 V 383 consid. 3 p. 389 et les références). La reconsidération permet de corriger une application initiale erronée du droit ou une appréciation erronée des faits et ne se justifie généralement pas par un changement de pratique ou de jurisprudence (ATF 117 V 8 consid. 2c p. 17, 115 V 308 consid. 4a/cc p. 314). Pour des raisons de sécurité juridique, l'irrégularité doit être manifeste afin d'éviter que la reconsidération devienne un instrument autorisant sans autres limitations un nouvel examen des conditions à la base des prestations de longue durée. En particulier, les organes d'application ne peuvent procéder en tout temps à une nouvelle appréciation de la situation après un examen plus approfondi des faits. Une inexactitude manifeste ne saurait ainsi être admise lorsque l'octroi de la prestation dépend de conditions matérielles dont l'examen suppose un pouvoir d'appréciation et que la décision initiale paraît admissible compte tenu de la situation de fait et de droit. S'il subsiste des doutes raisonnables sur le caractère erroné de la décision initiale, les conditions d'une reconsidération ne sont pas remplies (cf. arrêts 9C_71/2008 du 14 mars 2008 consid. 2, 9C_575/2007 du 18 octobre 2007 consid. 2.2, I 907/06 du 7 mai 2007 consid. 3.2.1, I 338/06 du 30 janvier 2007 consid. 3) (TF 9C_513/2008 du 23 mars 2009 consid. 3.1).</w:t>
      </w:r>
    </w:p>
    <w:p>
      <w:r>
        <w:rPr>
          <w:b/>
        </w:rPr>
        <w:t>E. 4</w:t>
      </w:r>
    </w:p>
    <w:p>
      <w:r>
        <w:t>a) En l'espèce, l'OAI a dans un premier temps alloué une demi-rente à l'assuré (décision du 5 octobre 1998). Il s'était alors fondé sur l'enquête économique pour les indépendants, qui avait retenu un préjudice économique subi de 50%. Cela étant, à aucun moment au cours de la procédure administrative, la situation du recourant n'a été examinée sous l'angle de l'atteinte à la santé et de son implication sur sa capacité résiduelle de travail. Or,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ce qui n'est pas admissible (TFA I 210/02 du 11 décembre 2002 et la jurisprudence citée). L'office intimé aurait donc dû procéder selon la méthode générale de la comparaison des revenus réglée par l'art. 28 al. 2 LAI alors en vigueur (actuellement, art. 16 LPGA). Telle a été en revanche la démarche suivie par la CNA, qui, dans sa décision du 6 août 1998, a procédé à la comparaison des gains avec et sans l'accident, conduisant à un taux d'invalidité de 33,33%. La notion d'invalidité étant en principe identique en matière d'assurance-accidents et d'AI (cf. notamment, pour ce qui est de la jurisprudence antérieure à la LPGA, ATF 119 V 468 consid. 2b, RAMA 1993 n° U 171 p. 138), il n'y avait pas lieu de s'écarter de ce taux d'autant que la seule atteinte à la santé existant alors consistait en la blessure – ou plutôt ses conséquences – au genou. En outre, avant la procédure de révision engagée en 2000, l'OAI ne s'était pas posé la question de la capacité de travail du recourant dans une activité adaptée. Or, il est constant que cette capacité de travail était entière dans une telle activité. Cela résulte tout d'abord de la décision de la CNA du 6 août 1998, fondée sur un rapport du Dr T.________ du 30 avril précédent. Le médecin traitant, le Dr L.________, confirme d'ailleurs cet avis dans son rapport du 27 novembre 2000 dès lors qu'il reconnaît au recourant une pleine capacité de travail dans une activité adaptée moyennant un reclassement professionnel. Il admet que l'état du genou ne se modifiera probablement pas à l'avenir. De leur côté, les médecins du SMR soulignent dans leur rapport du 18 avril 2005 que la capacité de travail exigible est tributaire des importantes atteintes à la santé somatique, c'est-à-dire celles affectant principalement le genou gauche et le rachis lombaire. Des limitations fonctionnelles ont ainsi été mises en évidence par les praticiens du SMR pour définir une activité exigible. Pour autant que ces limitations soient respectées, la capacité de travail du recourant dans une activité adaptée est complète à leurs yeux. A cet égard, il convient de souligner que les limitations fonctionnelles que le Dr L.________ indique dans son rapport du 4 août 2008, soit la difficulté à rester en stations assise et debout de manière prolongée, correspondent à celles déjà retenues par les médecins du SMR. Ce rapport ne fournit ainsi aucun élément nouveau dont l'OAI n'aurait pas tenu compte et n'est donc d'aucun secours pour le recourant. Au reste, contrairement à ce que soutient le recourant dans son écriture du 14 mai 2009 (ch. 24), il n'y a pas une appréciation différente d'une même situation. Il y a bien plutôt la prise en compte d'éléments qui auraient dû être examinés en 1998, soit au moment de la décision initiale de demi-rente, et qui ne l'ont pas été. b) La décision du 5 octobre 1998 était donc manifestement erronée et c'est dès lors à juste titre que l'autorité intimée a prononcé la suppression de la demi-rente d'invalidité servie au recourant, dans la mesure où il existe un motif de reconsidération au sens de l'art. 53 al. 2 LPGA. En effet, sa rectification revêt une importance notable dans la mesure où elle conduit à supprimer dite prestation (cf. TFA I 210/02 du 11 décembre 2002 déjà cité). Peu importe au surplus que le recourant travaille à 50%. Il résulte de ce qui précède que la décision entreprise échappe à la critique en tant qu'elle retient que le recourant présente une capacité de travail entière dans une activité adaptée. Au surplus, vérifiée d'office, la comparaison des gains à laquelle a procédé l'OAI est correcte et doit être confirmée. Elle n'est au demeurant pas contestée. En définitive, le recours, mal fondé, doit être rejeté, ce qui entraîne le maintien de la décision querellée.</w:t>
      </w:r>
    </w:p>
    <w:p>
      <w:r>
        <w:rPr>
          <w:b/>
        </w:rPr>
        <w:t>E. 5</w:t>
      </w:r>
    </w:p>
    <w:p>
      <w:r>
        <w:t>Il reste à statuer sur les frais et dépens (art. 91 LPA-VD, applicable par renvoi de l'art. 99 LPA-VD).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400 fr. et être mis à la charge du recourant, qui succombe (art. 49 al. 1 LPA-VD). Il n'y a pas lieu d'allouer de dépens, dès lors que le recourant n'obtient pas gain de cause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