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585/09 - 4/2012 vom 27. Dezember 2011</w:t>
      </w:r>
    </w:p>
    <w:p>
      <w:r>
        <w:t>VD Tribunal cantonal, 2011-12-27, FR</w:t>
      </w:r>
    </w:p>
    <w:p>
      <w:r>
        <w:rPr>
          <w:b/>
        </w:rPr>
        <w:t xml:space="preserve">Quelle: </w:t>
      </w:r>
      <w:r>
        <w:t>https://mcp.opencaselaw.ch/entscheid/vd_findinfo_AI_585_09_-_4_2012</w:t>
      </w:r>
    </w:p>
    <w:p>
      <w:r>
        <w:t>FR: VD_FINDINFO AI 585/09 - 4/2012 du 27 décembre 2011</w:t>
      </w:r>
    </w:p>
    <w:p>
      <w:r>
        <w:t>IT: VD_FINDINFO AI 585/09 - 4/2012 del 27 dicembre 2011</w:t>
      </w:r>
    </w:p>
    <w:p>
      <w:pPr>
        <w:pStyle w:val="Heading2"/>
      </w:pPr>
      <w:r>
        <w:t>Regeste</w:t>
      </w:r>
    </w:p>
    <w:p>
      <w:r>
        <w:t>LOI FÉDÉRALE SUR L'ASSURANCE-INVALIDITÉ, REFUS DE LA PRESTATION D'ASSURANCE, ÉVALUATION MÉDICO-THÉORIQUE, ÉVALUATION DE L'INCAPACITÉ DE TRAVAIL, LÉSION DE L'ÉPAULE, COMPARAISON DES REVENUS, REVENU D'INVALIDE, REVENU SANS INVALIDITÉ | 28 LAI, 4 LAI</w:t>
      </w:r>
    </w:p>
    <w:p>
      <w:pPr>
        <w:pStyle w:val="Heading2"/>
      </w:pPr>
      <w:r>
        <w:t>Volltext</w:t>
      </w:r>
    </w:p>
    <w:p>
      <w:r>
        <w:t>Vaud Tribunal cantonal Cour des assurances sociales 27.12.2011 AI 585/09 - 4/2012</w:t>
      </w:r>
    </w:p>
    <w:p>
      <w:r>
        <w:t>LOI FÉDÉRALE SUR L'ASSURANCE-INVALIDITÉ, REFUS DE LA PRESTATION D'ASSURANCE, ÉVALUATION MÉDICO-THÉORIQUE, ÉVALUATION DE L'INCAPACITÉ DE TRAVAIL, LÉSION DE L'ÉPAULE, COMPARAISON DES REVENUS, REVENU D'INVALIDE, REVENU SANS INVALIDITÉ | 28 LAI, 4 LAI</w:t>
      </w:r>
    </w:p>
    <w:p>
      <w:r>
        <w:t>TRIBUNAL CANTONAL AI 585/09 - 4/2012 ZD09.044019 COUR DES ASSURANCES SOCIALES _____________________________________________ Arrêt du 27 décembre 2011 __________________ Présidence de               Mme Pasche Juges :              M. Bidiville et Mme Moyard, assesseurs Greffière :              Mme Berberat ***** Cause pendante entre : G.________ , à Lausanne, recourant, représenté par Me Laurent Damond, avocat à Lausanne, et OFFICE DE L'ASSURANCE-INVALIDITE POUR LE CANTON DE VAUD , à Vevey, intimé. _______________ Art. 4 et 28 LAI E n  f a i t : A. a) G.________, né en 1961, travaillait depuis le 5 décembre 2005 en qualité d'aide-étancheur auprès de l'entreprise [...] SA à [...]. Le 3 novembre 2006, alors qu'il montait sur une échelle, en portant sur son épaule droite une soudeuse d'une trentaine de kilos, cette dernière a glissé sur le sol. Déséquilibré et sous le poids de la charge, l'assuré a été entraîné en arrière dans un mouvement de rotation pour finalement heurter le sol avec la tête de son épaule droite (procès-verbal d'entretien du 28 février 2007). Ce n'est que quelques jours plus tard qu'il a consulté l'hôpital [...] en raison de douleurs post-traumatiques de l'épaule droite à l'effort, qui ont été soignées par un traitement conservateur, soit des analgésiques et de la physiothérapie, une incapacité totale de travail ayant au surplus été attestée. Une IRM de l'épaule et de l'humérus droits pratiquée le 5 octobre 2007 a révélé la présence d'une rétraction de la longue portion bicipitale, d'une déchirure d'accompagnement du bourrelet glénoïdien antéro-supérieur et d'une tendinopathie du sous-scapulaire, ainsi que du sus-épineux avec de fines déchirures, sans rupture. Le cas de l'assuré a été pris en charge par la Caisse nationale suisse en cas d'accidents (CNA), qui a garanti le versement des prestations légales d'assurance. Dans un rapport médical du 6 novembre 2007 à la CNA, le Dr S.________, médecin traitant de l'assuré, a fait état d'une rupture du long chef du biceps, du sus-épineux et partiellement du sous-scapulaire, raison pour laquelle il a adressé l'assuré au Dr T.________, spécialiste FMH en chirurgie orthopédique, qui a posé le diagnostic de tendinopathie rompue du sus-épineux, partiellement du sous-scapulaire droit et rompue du long chef du biceps droit (rapport du 11 décembre 2007). Une infiltration cortisonique sous-acromiale effectuée le 16 octobre 2007 n'ayant eu aucun effet, l'assuré a été opéré le 23 janvier 2008 par le Dr T.________ qui a pratiqué une acromioplastie par arthrotomie de l'épaule droite, une révision de la coiffe des rotateurs droits, ainsi qu'une excision du restant du long chef du biceps droit (rapport et protocole opératoire du 29 janvier 2008). L'intéressé a séjourné du 29 janvier au 29 février 2008 à la Clinique [...] en vue d'une rééducation qui a permis une amélioration de l'amplitude articulaire (rapport du 12 février 2008). b) Le 18 avril 2008, G.________ a déposé une demande de prestations AI auprès de l'Office de l'assurance-invalidité pour le canton de Vaud (OAI) tendant à l'octroi d'une orientation professionnelle et d'un reclassement dans une nouvelle profession. Selon le questionnaire pour l'employeur du 30 avril 2008, l'assuré aurait touché dès le 1 er février 2008 un salaire mensuel de 4'957 fr. 85, servi 13 fois. Dans un rapport médical du 8 mai 2008 à l'OAI, le Dr T.________ a confirmé les diagnostics de tendinopathie non rompue du tendon du sus-épineux et du sous-scapulaire droit, ainsi qu'une ancienne rupture du long chef du biceps droit. Il a émis un pronostic favorable, précisant toutefois que la profession d'étancheur était incompatible avec la lésion de l'épaule droite. Dans un rapport médical du 17 juin 2008 à l'OAI, le Dr S.________ a retenu les diagnostics avec effet sur la capacité de travail de son patient d'algies de l'épaule droite sur tendinopathie non rompue du sus-épineux et du sous-scapulaire droit et sur rupture ancienne du long chef du biceps droit, ainsi que de status après acromioplastie et révision de la coiffe des rotateurs le 23 janvier 2008. Attestant une totale incapacité de travail dès le 2 octobre 2007, le Dr S.________ a mentionné que l'assuré pouvait probablement travailler à 100 % dans un travail adapté. Dans un rapport d'examen d'orientation professionnelle du 18 juin 2008, le Service de réadaptation de l'AI a préconisé une formation pratique dans une activité légère moyennant des cours de français. Dans un rapport médical du 6 août 2008 faisant suite à un examen clinique de l'assuré, le Dr M.________, spécialiste FMH en chirurgie orthopédique et médecin d'arrondissement de la CNA, a constaté une limitation modérée de la mobilité, des douleurs à la palpation de la région de la coracoïde à droite et un remaniement de la silhouette du bras par insuffisance du long chef du biceps. Il a en outre signalé une diminution de la force à droite avec une bonne conservation de la sensibilité cutanée et de la mobilité des coudes, des poignets et des mains, sans atrophie musculaire majeure. D'un point de vue assécurologique, Dr M.________ a conclu à une situation pratiquement stabilisée, tout en considérant qu'il se justifiait de prendre en charge une médication algique et un traitement de physiothérapie pendant deux ans sur prescription médicale. Il a en outre considéré que la capacité de travail dans l'ancienne activité était nulle. Une activité adaptée, soit se faisant sans effort particulier ou répétitif des membres supérieurs, avec un port de charges limité à 10 kg, exceptionnellement à 15 kg, dans un secteur en dessous de l'horizontale, pourrait être réalisée sans limitation ni de temps ni de rentabilité. Par avis médical du 3 septembre 2008, le Dr D.________ du Service médical régional de l'AI (SMR) s'est référé au rapport du 6 août 2008 du Dr M.________, médecin d'arrondissement de la CNA, lequel avait conclu à un état stabilisé, ainsi qu'à une totale et durable incapacité de travail dans l'activité habituelle, tout en retenant une pleine capacité de travail dans une activité respectant les limitations fonctionnelles. Dans ce contexte, le Dr D.________ a décrit les limitations précitées comme suit : "Port de charges &gt; 10 kg répété, activités de force MS, travaux au dessus de l'horizontal MS, mouvements répétés de rotation interne/externe MSD, travaux en flexion/extension maximal de la tête" . Dans un rapport du 7 octobre 2008 à la CNA, le Dr T.________ a estimé que si l'activité exercée jusqu'alors n'était plus exigible, la capacité de travail dans une activité adaptée était totale. Par communication du 8 octobre 2008, l'OAI a octroyé à l'assuré une orientation professionnelle et un soutien dans ses recherches d'emploi. c) Le 12 décembre 2008, la CNA a informé l'intéressé qu'elle mettait fin au versement de l'indemnité journalière avec effet au 31 janvier 2009, tout en continuant à prendre en charge une médication algique et un traitement de physiothérapie. Dans un rapport du 17 décembre 2008 à la CNA, le Dr T.________ a confirmé son impression clinique, soit la persistance d'une tendinopathie modérée, sans déchirure de la coiffe des rotateurs de l'épaule. N'ayant plus de traitement à proposer, il a estimé que le cas de l'assuré devait être considéré comme stabilisé. Par décision sur opposition du 8 juillet 2009, confirmant une décision du 26 janvier 2009, la CNA a alloué à l'assuré une rente d'invalidité de 16 % dès le 1 er février 2009. Elle a ainsi considéré qu'il y avait lieu de se référer aux conclusions médicales et de recourir à la méthode générale de comparaison des revenus pour déterminer le degré d'invalidité, puisque l'assuré n'avait pas repris d'activité lucrative. Se référant au point de vue médical du Dr M.________ du 6 août 2008, la CNA a admis qu'un marché du travail réputé équilibré était propre à offrir des emplois à l'intéressé, permettant ainsi de limiter au maximum le préjudice financier consécutif à l'accident du 3 novembre 2006. Ainsi malgré les séquelles de l'accident, la CNA a confirmé que l'assuré était à même d'exercer à plein temps une activité adaptée (soit tenant compte des limitations fonctionnelles) lui permettant de réaliser un salaire de 4'535 fr. par mois. Partant, la comparaison entre un revenu mensuel exigible de 4'535 fr. et un gain de valide de 5'420 fr. par mois mettait en évidence une perte économique de 16.3 %, soit 16 %. La CNA a en outre refusé d'allouer à l'assuré une indemnité pour atteinte à l'intégrité. d) Par décision et courrier du 10 novembre 2009, confirmant un prononcé du 14 juillet 2009, l'OAI a refusé l'octroi d'une rente d'invalidité à l'assuré, en procédant à une évaluation théorique de sa capacité de gain. Sur la base d'un revenu mensuel de 4'732 fr. selon l'Enquête suisse sur la structure des salaires (ESS) dans une activité simple et répétitive (production et services) en 2006, compte tenu du temps de travail moyen effectué dans les entreprises en 2006 (41.7 heures), de l'évolution des salaires nominaux de 2006 à 2008 (+1.6 %; +2.07 %) et d'un taux d'abattement de 10 %, l'OAI a estimé que l'assuré était en mesure de réaliser un revenu annuel de 55'250 fr. 50. Un tel revenu, comparé au gain de valide de 64'452 fr. 05, mettait en évidence une perte de gain de 9'201 fr. 55, ce qui correspondait à un taux d'invalidité de 14.3 %, insuffisant pour ouvrir le droit à une rente. B. a) Par acte de son mandataire du 16 décembre 2009, G.________ interjette recours contre la décision précitée. Il conclut, sous suite de frais et dépens, principalement à la réforme de la décision entreprise, en ce sens qu'une rente d'invalidité doit lui être octroyée, subsidiairement à son annulation, le dossier étant renvoyé à l'OAI pour instruction complémentaire et nouvelle décision. Le recourant critique la méthode d'évaluation retenue par l'intimé pour déterminer son revenu d'invalide, puisque les postes dont l'intimé fait état ne permettent pas une activité à temps partiel et qu'ils ne sont pas compatibles avec ses limitations fonctionnelles. Le recourant se réfère enfin à l'appréciation du Dr T.________ qui a fait état d'une évolution défavorable malgré des infiltrations articulaires, l'assuré présentant toujours des problèmes résiduels avec son biceps, qui était atrophié et se bloquait. b) Dans sa réponse du 4 février 2020 (recte 2010), l'intimé propose le rejet du recours et le maintien de la décision attaquée. Il estime que le rapport du 6 août 2008 du Dr M.________ remplit toutes les conditions auxquelles la jurisprudence soumet la valeur probante d'un tel document. L'intimé précise en outre qu'il existe des activités adaptées aux limitations fonctionnelles de l'assuré, lequel pourrait notamment exercer une activité industrielle légère. Par ailleurs, au regard du large éventail d'activités simples et répétitives que recouvrent les secteurs de la production et des services, il y a lieu de convenir qu'un certain nombre d'entre elles sont adaptées à son état de santé. c) Dans sa réplique du 11 mai 2010, le recourant confirme ses conclusions. d) Dans sa duplique du 31 mai 2010, l'intimé confirme son écriture du 4 février 2010. e) Par arrêt du 26 juillet 2011 (AA105/09 - 93/2011), la Cour des assurances sociales a rejeté le recours formé par l'assuré contre une décision sur opposition du 8 juillet 2009 de la CNA, laquelle avait notamment conclu à l'octroi d'une rente d'invalidité sur la base d'un taux d'incapacité de gain de 16 % dès le 1 er février 2009. Cet arrêt est entré en force. f) Par lettre du 22 août 2011, la juge instructeur informe les parties que le dossier de la cause AA 105/09, lequel comprend notamment l'arrêt du 26 juillet 2011, est versé au dossier. Un délai leur est imparti pour déposer des déterminations. g) Par courrier du 12 septembre 2011, le recourant maintient intégralement les conclusions prises à l'appui de son recours. h) Par lettre du 6 octobre 2011, l'intimé constate qu'une capacité de travail entière dans une activité adaptée aux limitations fonctionnelles et le degré d'invalidité inférieur à 20 %, ont été confirmés. Par ailleurs, pour la période concernée, soit jusqu'en juillet 2009, il n'a pas été fait état de troubles qui ne seraient pas en lien avec l'accident.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supérieure à 30'000 fr. s'agissant d'un refus de rente. 2. En l'espèce, est litigieuse l'évaluation du taux d'invalidité à laquelle a procédé l'intimé. Il s'agit dès lors d'examiner si celle-ci est conforme aux règles légales applicables, ainsi qu'aux principes dégagés par la jurisprudence en la matière.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au moins, à trois-quarts de rente s'il est invalide à 60 % au moins et à une rente entière s'il est invalide à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274/05 du 21 mars 2006, consid. 1.2; TF I 562/06 du 25 juillet 2007, consid. 2.1).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(TF 9C_462/2009 du 2 décembre 2009 consid. 2.4; TFA I 762/2002 du 6 mai 2003, consid. 2, I 522/2000 du 22 mai 2001, consid. 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TF 9C_91/2008 du 30 septembre 2008;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 TF 9C_776/2009 du 11 juin 2010, consid. 2.2.). 3. En l'espèce, sur le plan médico-théorique, l'ensemble des praticiens a exclu la reprise de l'activité habituelle d'étancheur et a reconnu que le recourant présentait des douleurs au niveau du membre supérieur droit. La principale divergence concerne dès lors l'évaluation de la capacité résiduelle de travail dans une activité adaptée compte tenu des limitations fonctionnelles. a) Se fondant sur les conclusions du Dr M.________, spécialiste FMH en chirurgie orthopédique et médecin d'arrondissement de la CNA, l'intimé a considéré qu'en dépit des séquelles physiques de l'accident, le recourant présentait une pleine capacité de travail dans une activité adaptée. L'intimé s'est toutefois référé aux limitations fonctionnelles plus restrictives du SMR (avis médical du 3 septembre 2008 du Dr D.________), qui a ainsi exclu le port de charges au dessus de 10 kg et de manière répétée, les activités de force des membres supérieurs, les travaux au dessus de l'horizontal des membres supérieurs, les mouvements répétés de rotation interne/externe du membre supérieur droit, ainsi que les travaux en flexion/extension maximal de la tête. Contrairement à l'opinion du recourant, les Drs M.________ et D.________ n'ont pas préconisé d'activité à temps partiel, le médecin d'arrondissement de la CNA précisant que l'activité adaptée pouvait être réalisée sans limitation de temps ou de rentabilité. Le Dr T.________ ne s'est, quant à lui, prononcé ni sur la capacité de travail de son patient, ni sur les activités encore exigibles, l'incitant au contraire à entreprendre rapidement les démarches pour un recyclage professionnel (rapport du 17 décembre 2008) et estimant que si l'activité exercée jusqu'alors n'était plus exigible, la capacité de travail dans une activité adaptée était totale (rapport du 7 octobre 2008). Enfin, les problèmes résiduels au niveau du biceps dont l'assuré a fait état (cf. recours) ont dûment été pris en considération par Dr M.________ dans son appréciation de la capacité résiduelle de l'intéressé (rapport médical du 6 août 2008). b) Le recourant n'ayant apporté aucun élément concret permettant d'établir que sa capacité de travail serait diminuée dans une plus large mesure que celle décrite par le Dr M.________, il y a lieu de considérer que l'appréciation du médecin d'arrondissement de la CNA est convaincante et qu'aucun motif ne permet de la remettre en cause. En effet, le Dr M.________ a établi son rapport en connaissance du dossier médical de l'assuré et au terme d'un examen clinique. Il a dûment pris en considération les plaintes de l'assuré, et sa description de l'état de santé et de son influence sur la capacité de travail est claire et motivée On rappellera à ce propos que d'après la jurisprudence, le juge peut accorder valeur probante aux rapports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(ATF 125 V 351 consid. 3b/ee p. 353 ss.). 4. Le recourant critique ensuite le gain réalisable dans une activité adaptée, tel qu'il a été fixé par l'intimé sur la base des données économiques statistiques, soit 55'250 fr. 50 par année. Un tel gain conduit, en comparaison du revenu de 64'452 fr. 05 par année qu'il aurait obtenu chez son ancien employeur, montant qu'il ne conteste au demeurant pas, à un degré d'invalidité de 14.3 %. Il met enfin en doute l'existence réelle d'activités adaptées à son état de santé.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TFA I 350/89 du 30 avril 1991 consid. 3b, in RCC 1991 p. 329).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précité consid. 3b; I 329/88 du 25 janvier 1989 consid. 4a, in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b) Il n'est pas contesté en l'espèce que la lésion de l'épaule droite présentée par le recourant a pour conséquence un certain nombre de limitations fonctionnelles (pas de port répété de charges au-dessus de 10 kg, pas d'activités de force des membres supérieurs, pas de travaux au dessus de l'horizontal des membres supérieurs, pas de mouvements répétés de rotation interne/externe du membre supérieur droit, pas de travaux en flexion/extension maximal de la tête). Si les limitations décrites par le SMR peuvent de prime abord sembler importantes, elles représentent en fait les mesures classiques d'épargne en vue d'éviter les douleurs provoquées par la pathologie susmentionnée. Dans ce contexte, il convient d'admettre que le marché du travail offre un éventail suffisamment large d'activités légères, dont on doit convenir qu'un nombre significatif sont adaptées aux limitations du recourant et accessibles sans aucune formation particulière. On rappellera au demeurant qu'il n'y a pas lieu d'examiner dans quelle mesure la situation concrète du marché du travail permettrait au recourant de retrouver un emploi (TF I 279/2008 du 16 décembre 2008, consid. 4). c) Par conséquent, en l'absence d'un revenu effectivement réalisé, l'intimé n'a pas violé le droit fédéral en se référant aux données salariales publiées par l'Office fédéral de la statistique, singulièrement au salaire auquel peuvent prétendre les hommes effectuant des activités simples et répétitives (niveau de qualification 4) dans le secteur privé (voir également TFA I 171/04 du 1 er avril 2005, in REAS 2005 p. 240). En effet, compte tenu de l'activité de substitution raisonnablement exigible de la part du recourant, seul le niveau de qualification 4 correspondant aux activités simples et répétitives entre ici en considération, à savoir 4'732 fr. (valeur en 2006), part au 13ème salaire comprise (ESS 2006, TA1, niveau de qualification 4). Ce salaire hypothétique représente, compte tenu du fait que les salaires bruts standardisés se basent sur un horaire de travail de 40 heures, soit une durée hebdomadaire inférieure à la moyenne usuelle dans les entreprises en 2006 (41.7; Vie économique 10-2006, p. 90, tableau B 9.2), un revenu annuel de 59'197 fr. 32. Après adaptation de ce chiffre à l'évolution des salaires nominaux de 2006 à 2008 (+1.6 %; +2.07 %), on obtient un revenu annuel de 61'389 fr. 47. A ce salaire, il convient encore, conformément à la jurisprudence, d’appliquer un facteur de réduction. L’intimé a retenu à cet égard un abattement de 10 % en raison des limitations fonctionnelles présentées par le recourant. La Cour de céans n'a aucun motif pertinent de s'écarter de cette appréciation. La déduction de 10 %, qui apparaît adéquate, tient en effet compte de l'ensemble des facteurs déterminants dans le cas d'espèce, soit en particulier de l’activité légère seule possible Compte tenu d'un abattement de 10 %, le revenu annuel d'invalide évalué sur la base des statistiques salariales est ainsi de 55'250 fr. 50. Il résulte de la comparaison des revenus avec et sans invalidité que le recourant présente une perte de gain de 9'201 fr. 55 fr. 60 (64'452 fr. 05 - 55'250 fr. 50), correspondant à un degré d’invalidité de 14.3 %, taux insuffisant pour ouvrir le droit à une rente de l’assurance-invalidité. 5. a) Au regard des principes légaux et jurisprudentiels rappelés plus haut, le dossier s'avère complet pour statuer sur la demande déposée le 18 avril 2008. Au regard des pièces médicales probantes figurant au dossier, un complément d'instruction n'est pas nécessaire. La décision attaquée n'est, par conséquent, pas critiquable dans son résultat et doit être confirmée, ce qui conduit au rejet du recours. On relèvera toutefois que la présente appréciation ne préjuge pas une éventuelle modification des faits déterminants postérieurement à la décision litigieuse (ATF 121 V 366 cons. 1b et les références), pouvant donner lieu à une nouvelle décision et le cas échéant à l'octroi d'une rente si les conditions en sont remplies.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450 fr. et être mis à la charge du recourant, qui succombe. Vu l'issue du litige, il n'y a pas lieu d'allouer de dépens (art. 55 al. 1 LPA-VD; art. 61 let. g LPGA). Par ces motifs, la Cour des assurances sociales prononce : I. Le recours est rejeté. II. La décision rendue le 10 novembre 2009 par l'Office de l'assurance-invalidité pour le canton de Vaud est confirmée. III. Un émolument judiciaire de 450 fr. (quatre cent cinquante francs) est mis à la charge du recourant. IV. Il n'est pas alloué de dépens. La présidente : La greffière : Du L'arrêt qui précède, dont la rédaction a été approuvée à huis clos, est notifié à : ‑ Me Damond,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