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585/08 - 430/2010 vom 15. September 2010</w:t>
      </w:r>
    </w:p>
    <w:p>
      <w:r>
        <w:t>VD Tribunal cantonal, 2010-09-15, FR</w:t>
      </w:r>
    </w:p>
    <w:p>
      <w:r>
        <w:rPr>
          <w:b/>
        </w:rPr>
        <w:t xml:space="preserve">Quelle: </w:t>
      </w:r>
      <w:r>
        <w:t>https://mcp.opencaselaw.ch/entscheid/vd_findinfo_AI_585_08_-_430_2010</w:t>
      </w:r>
    </w:p>
    <w:p>
      <w:r>
        <w:t>FR: VD_FINDINFO AI 585/08 - 430/2010 du 15 septembre 2010</w:t>
      </w:r>
    </w:p>
    <w:p>
      <w:r>
        <w:t>IT: VD_FINDINFO AI 585/08 - 430/2010 del 15 settembre 2010</w:t>
      </w:r>
    </w:p>
    <w:p>
      <w:pPr>
        <w:pStyle w:val="Heading2"/>
      </w:pPr>
      <w:r>
        <w:t>Regeste</w:t>
      </w:r>
    </w:p>
    <w:p>
      <w:r>
        <w:t>ÉVALUATION DE L'INCAPACITÉ DE TRAVAIL, RÉVISION DE LA RENTE, FORCE PROBANTE, MODIFICATION{EN GÉNÉRAL}, ÉTAT DE SANTÉ, SUPPRESSION DE LA PRESTATION D'ASSURANCE | 28 LAI, 4 LAI, 17 LPGA, 6 LPGA, 7 LPGA, 8 LPGA</w:t>
      </w:r>
    </w:p>
    <w:p>
      <w:pPr>
        <w:pStyle w:val="Heading2"/>
      </w:pPr>
      <w:r>
        <w:t>Erwägungen</w:t>
      </w:r>
    </w:p>
    <w:p>
      <w:r>
        <w:rPr>
          <w:b/>
        </w:rPr>
        <w:t>E. 5</w:t>
      </w:r>
    </w:p>
    <w:p>
      <w:r>
        <w:t>a) Il convient en l'espèce de déterminer si les conditions d'une révision sont remplies. L'intimé a fondé la décision initiale d'allocation de rente du 28 octobre 2003 en se fondant principalement sur le rapport d'enquête ménagère du 10 octobre 2003 qui, sur la base d'une motivation très succincte, retenait un degré d'invalidité de 52,5 %. Si les rapports médicaux dont disposait l'OAI pour prendre sa décision font certes état de façon concordante d'une atteinte à la santé, les incapacités de travail posées par les médecins traitants de la recourante ne permettent pas de déterminer la mesure dans laquelle les empêchements de la recourante étaient liés à son état de santé ou à celui de son époux (voir notamment le rapport médical du 5 mai 2003 des Drs R.________ et C.________ du CPS). Cela ne suffit toutefois pas pour considérer que les conditions d'une révision ne sont pas réunies dans le cas présent. En effet, il faut  constater que, d'un point de vue personnel et économique, la situation de la recourante a évolué, puisque le rapport d'enquête ménagère du 6 octobre 2006 indique que le statut de la recourante est passé de celui de ménagère à 100 % à celui de ménagère à 50 % et d'active à 50 %. En outre, sur le plan médical, si l'expertise bidisciplinaire du 14 août 2007 a confirmé l'existence de la fibromyalgie que présentait la recourante au moment où l'OAI lui a accordé une demi-rente, elle a en revanche infirmé celle d'une comorbidité psychiatrique, le trouble dépressif récurrent étant considéré comme en rémission. Il convient donc d'examiner si les conclusions médicales du rapport d'expertise bidisciplinaire du 14 août 2007 – dont on a vu ci-dessus qu'il avait pleine valeur probante – permettent d'admettre que la situation médicale de la recourante a favorablement évolué et dans une mesure suffisante pour justifier la révision et la suppression de son droit à une rente d'invalidité. b) Selon la jurisprudence, des troubles somatoformes douloureux peuvent, dans certaines circonstances, conduire à une incapacité de travail. De tels troubles entrent dans la catégorie des affections psychiques, pour lesquelles une expertise psychiatrique est en principe nécessaire quand il s'agit de se prononcer sur l'incapacité de travail qu'ils sont susceptibles d'entraîner.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(131 V 49 cons.1.2, 130 V 352 cons.2.2.2). Les critères dégagés par le Tribunal fédéral pour permettre d'apprécier le caractère invalidant de troubles somatoformes douloureux (ATF 130 V 352, p.354 et 131 V 49, p.50) sont également applicables à la fibromyalgie (ATF 132 V 65) et au syndrome chronique de fatigue ou à la neurasthénie (Arrêts du TF non publiés du 14.04.2008, [I 70/07], du 01.10.2009 [9C_543/2009], cons.2.4, du 12.01.2009 [9C_676/2008], cons.4.3.1).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(Meyer-Blaser, Der Rechtsbegriff der Arbeitsunfähigkeit und seine Bedeutung in der Sozialversicherung, namentlich für den Einkommensvergleich in der Invaliditätsbemessung, in : Schauffhauser/Schlauri (éd.), Schmerz und Arbeitsunfähigkeit, p.64 s., et note 93). En effet, selon la jurisprudence, les troubles somatoformes douloureux persistants n'entraînent pas, en règle générale, une limitation de longue durée de la capacité de travail susceptible de conduire à une invalidité au sens de l'article 4 al. 1 LAI (cf. sur ce point Meyer-Blaser, op.cit. p.76 ss, spéc. p.81 scf.).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 plus raisonnablement être exigée de l'assuré, ou qu'elle serait même insupportable pour la société.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(ATF 132 V 65, cons.4.2 et les références). Dans ce contexte, le diagnostic d'état dépressif (dépression, épisode dépressif etc.) ne saurait faire l'objet d'un diagnostic séparé (constituer une comorbidité psychiatrique), dès lors qu'il apparaît comme l'une des manifestations (réactives) d'accompagnement des troubles somatoformes douloureux (ATF 130 V 352 cons.3.3.1 in fine p.358). On conclura par ailleurs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cons.4.2.2 p.71).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mentionnés au considérant ci-dessus - lui permettent de surmonter ses douleurs. Il s'agit pour lui d'établir de manière objective si, compte tenu de sa constitution psychique, l'assuré peut exercer une activité sur le marché du travail, malgré les douleurs qu'il ressent (ATF 130 V 352 ss cons.2.2.4.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294 cons.5a; VSI 2000 p.149 cons.3), ou si la limitation (partielle ou totale) de la capacité de travail est justifiée par les critères juridiques déterminants, énumérés aux considérants ci-dessus (cf. ATF 130 V 352 cons.2.2.5). Dans le cas d'espèce, il n’y a pas eu d’expertise au moment de l’otroi de la demi-rente. Peu importe toutefois. Le Tribunal fédéral a en effet considéré que ce n'est que dans l'ATF 132 V 65 (I 336/04 du 8 février 2006) qu'il a jugé qu'une expertise interdisciplinaire tenant compte à la fois des aspects rhumatologiques et psychiques de cette atteinte apparaissait comme la mesure d'instruction adéquate pour établir de manière objective si l'assuré présentait un état douloureux d'une gravité telle que la mise en valeur de sa capacité de travail sur le marché du travail ne peut plus du tout ou seulement partiellement être exigible de sa part (consid. 4.3 [p. 72] de l'ATF 132 V 65) et que, par conséquent, on ne saurait reprocher à un office de ne pas avoir demandé l’avis d’un psychiatre au moment de se prononcer avant l’arrêt du Tribunal fédéral susmentionné (TF, 9C_567/2009, arrêt du 23 mars 2010). Cela étant, au moment de l’octroi de la demi-rente en 2003, il était fait état d’un trouble dépressif sévère (rapport du CPS du 5 mai 2003). La seule expertise au dossier (rapport du 14 août 2007) pose le diagnostic de fibromyalgie. Il n’y a toutefois pas ou plus de comorbidité psychiatrique, l’état dépressif étant considéré comme en rémission. En outre, rien dans le dossier ne permet de considérer que les autres critères pour admettre qu'une fibromyalgie est invalidante sont réunis. En conclusion, faute d'atteinte à la santé invalidante du point de vue de l'assurance-invalidité, la révision dans le sens d'une suppression du droit à la rente était justifiée.</w:t>
      </w:r>
    </w:p>
    <w:p>
      <w:r>
        <w:rPr>
          <w:b/>
        </w:rPr>
        <w:t>E. 6</w:t>
      </w:r>
    </w:p>
    <w:p>
      <w:r>
        <w:t>En définitive, mal fondé, le recours doit être admis et la décision entreprise confirmée. Vu l'issue du litige, les frais judiciaires, arrêtés à 250 fr., sont mis à la charge de la recourante.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