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562/09 - 174/2011 vom 6. April 2011</w:t>
      </w:r>
    </w:p>
    <w:p>
      <w:r>
        <w:t>VD Tribunal cantonal, 2011-04-06, FR</w:t>
      </w:r>
    </w:p>
    <w:p>
      <w:r>
        <w:rPr>
          <w:b/>
        </w:rPr>
        <w:t xml:space="preserve">Quelle: </w:t>
      </w:r>
      <w:r>
        <w:t>https://mcp.opencaselaw.ch/entscheid/vd_findinfo_AI_562_09_-_174_2011</w:t>
      </w:r>
    </w:p>
    <w:p>
      <w:r>
        <w:t>FR: VD_FINDINFO AI 562/09 - 174/2011 du 6 avril 2011</w:t>
      </w:r>
    </w:p>
    <w:p>
      <w:r>
        <w:t>IT: VD_FINDINFO AI 562/09 - 174/2011 del 6 aprile 2011</w:t>
      </w:r>
    </w:p>
    <w:p>
      <w:pPr>
        <w:pStyle w:val="Heading2"/>
      </w:pPr>
      <w:r>
        <w:t>Regeste</w:t>
      </w:r>
    </w:p>
    <w:p>
      <w:r>
        <w:t>DEGRÉ DE L'INVALIDITÉ, RENTE D'INVALIDITÉ | 17 LAI, 28 al. 2 LAI, 4 LAI, 16 LPGA, 6 LPGA</w:t>
      </w:r>
    </w:p>
    <w:p>
      <w:pPr>
        <w:pStyle w:val="Heading2"/>
      </w:pPr>
      <w:r>
        <w:t>Erwägungen</w:t>
      </w:r>
    </w:p>
    <w:p>
      <w:r>
        <w:rPr>
          <w:b/>
        </w:rPr>
        <w:t>E. 6</w:t>
      </w:r>
    </w:p>
    <w:p>
      <w:r>
        <w:t>a) L'assuré a droit au reclassement dans une nouvelle profession pour autant que son invalidité rende cette mesure nécessaire et que sa capacité de gain puisse ainsi, selon toute vraisemblance, être maintenue ou améliorée (art. 17 LAI). En d'autres termes, il y a droit au reclassement dès lors que l'atteinte à la santé revêt des proportions telles que la reprise de l'activité lucrative antérieure ne puisse être raisonnablement exigée ou qu'elle a pour conséquence une diminution durable de la capacité de gain supérieure à 20% (ATF 124 V 108 c. 2b; Maurer/Scartazzini/Hürzeler, Bundessozialversicherungsrecht, 3 e éd., Bâle 2009, n°57 p. 169). Le pourcentage précité est calculé en fonction de principes identiques à ceux servant à la détermination du degré d'invalidité (VSI 2/2000 p. 63; RCC 1984 p. 95). b) Etant précisé que la reprise à plein temps d'une activité adaptée est raisonnablement exigible de la part du recourant, l'intimé s'est refusé à lui fournir des mesures de reclassement professionnel motif pris que le préjudice économique subi n'était pas suffisamment important. Le degré d'invalidité du recourant fixé à 11 % a pour conséquence que sa perte de gain durable est effectivement inférieure au minimum de 20% permettant de pouvoir bénéficier d'un reclassement (cf. c. 6a supra). Au surplus, on ne voit pas, compte tenu du revenu d'invalide réalisable sans autres mesures, que des mesures professionnelles puissent aboutir à une amélioration de la capacité de gain du recourant (cf. art. 17 LAI). L'office intimé a en revanche expressément proposé au recourant de bénéficier, s'il le souhaitait, d'une mesure d'aide au placement.</w:t>
      </w:r>
    </w:p>
    <w:p>
      <w:r>
        <w:rPr>
          <w:b/>
        </w:rPr>
        <w:t>E. 7</w:t>
      </w:r>
    </w:p>
    <w:p>
      <w:r>
        <w:t>Il résulte de ce qui précède que le recours, mal fondé, doit être rejeté, ce qui entraîne la confirmation de la décision attaquée.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les frais de justice doivent être arrêtés à 250 fr. et être mis à la charge du recourant qui succombe (art. 69 al. 1bis LAI; art. 49 al. 1 LPA-VD). Il n'y a pas lieu d'allouer de dépens dans la mesure où le recourant, au demeurant non assisté,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