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555/09 - 128/2011 vom 25. Februar 2011</w:t>
      </w:r>
    </w:p>
    <w:p>
      <w:r>
        <w:t>VD Tribunal cantonal, 2011-02-25, FR</w:t>
      </w:r>
    </w:p>
    <w:p>
      <w:r>
        <w:rPr>
          <w:b/>
        </w:rPr>
        <w:t xml:space="preserve">Quelle: </w:t>
      </w:r>
      <w:r>
        <w:t>https://mcp.opencaselaw.ch/entscheid/vd_findinfo_AI_555_09_-_128_2011</w:t>
      </w:r>
    </w:p>
    <w:p>
      <w:r>
        <w:t>FR: VD_FINDINFO AI 555/09 - 128/2011 du 25 février 2011</w:t>
      </w:r>
    </w:p>
    <w:p>
      <w:r>
        <w:t>IT: VD_FINDINFO AI 555/09 - 128/2011 del 25 febbraio 2011</w:t>
      </w:r>
    </w:p>
    <w:p>
      <w:pPr>
        <w:pStyle w:val="Heading2"/>
      </w:pPr>
      <w:r>
        <w:t>Regeste</w:t>
      </w:r>
    </w:p>
    <w:p>
      <w:r>
        <w:t>DROIT D'ÊTRE ENTENDU, ACCIDENT DE LA CIRCULATION, MODIFICATION{EN GÉNÉRAL}, ÉTAT DE SANTÉ, SUPPRESSION DE LA PRESTATION D'ASSURANCE, RENTE D'INVALIDITÉ, DEGRÉ DE L'INCAPACITÉ DE TRAVAIL, COMPARAISON DES REVENUS | 29 al. 2 Cst., 28 LAI, 4 al. 1 LAI, 16 LPGA, 17 al. 1 LPGA, 7 LPGA, 8 al. 1 LPGA, 88a al. 1 RAI</w:t>
      </w:r>
    </w:p>
    <w:p>
      <w:pPr>
        <w:pStyle w:val="Heading2"/>
      </w:pPr>
      <w:r>
        <w:t>Erwägungen</w:t>
      </w:r>
    </w:p>
    <w:p>
      <w:r>
        <w:rPr>
          <w:b/>
        </w:rPr>
        <w:t>E. 7</w:t>
      </w:r>
    </w:p>
    <w:p>
      <w:r>
        <w:t>a) Il résulte de ce qui précède que le recours, mal fondé, doit être rejeté, ce qui entraîne la confirmation de la décision entreprise.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45 et 49 al. 1 LPA-VD). Il n'y a pas lieu d'allouer de dépens, la recourante ayant procédé sans l'assistance d'un mandataire et n'ayant donc pas dû engager de frais pour défendre ses intérêts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