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531/09 - 429/2011 vom 20. September 2011</w:t>
      </w:r>
    </w:p>
    <w:p>
      <w:r>
        <w:t>VD Tribunal cantonal, 2011-09-20, FR</w:t>
      </w:r>
    </w:p>
    <w:p>
      <w:r>
        <w:rPr>
          <w:b/>
        </w:rPr>
        <w:t xml:space="preserve">Quelle: </w:t>
      </w:r>
      <w:r>
        <w:t>https://mcp.opencaselaw.ch/entscheid/vd_findinfo_AI_531_09_-_429_2011</w:t>
      </w:r>
    </w:p>
    <w:p>
      <w:r>
        <w:t>FR: VD_FINDINFO AI 531/09 - 429/2011 du 20 septembre 2011</w:t>
      </w:r>
    </w:p>
    <w:p>
      <w:r>
        <w:t>IT: VD_FINDINFO AI 531/09 - 429/2011 del 20 settembre 2011</w:t>
      </w:r>
    </w:p>
    <w:p>
      <w:pPr>
        <w:pStyle w:val="Heading2"/>
      </w:pPr>
      <w:r>
        <w:t>Regeste</w:t>
      </w:r>
    </w:p>
    <w:p>
      <w:r>
        <w:t>LOI FÉDÉRALE SUR L'ASSURANCE-INVALIDITÉ, NOUVELLE DEMANDE, AGGRAVATION DE L'ATTEINTE À LA SANTÉ, MODIFICATION{EN GÉNÉRAL}, ÉTAT DE SANTÉ | 28 LAI, 4 LAI, 17 LPGA</w:t>
      </w:r>
    </w:p>
    <w:p>
      <w:pPr>
        <w:pStyle w:val="Heading2"/>
      </w:pPr>
      <w:r>
        <w:t>Erwägungen</w:t>
      </w:r>
    </w:p>
    <w:p>
      <w:r>
        <w:rPr>
          <w:b/>
        </w:rPr>
        <w:t>E. 30</w:t>
      </w:r>
    </w:p>
    <w:p>
      <w:r>
        <w:t>juin 2010 adressées à la Dresse K.________, sa réponse du 11 août 2010, selon laquelle elle est entièrement persuadée de la sévérité de l'affection de son patient entraînant une incapacité de travail totale, ainsi qu'une attestation du Dr V.________ du 6 décembre 2010. Il a enfin sollicité la fixation d'une audience. g) Dans sa détermination du 10 décembre 2010, l'intimé n'a formulé aucun commentaire particulier.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Interjeté le 9 novembre 2009, dans le délai légal de trente jours dès la notification de la décision entreprise, le recours a été déposé en temps utile (art. 60 al. 1 LPGA) auprès du tribunal compétent. Respectant pour le surplus les autres  conditions de forme prévues par la loi (art. 61 let. b LPGA), il est recevable. 2. En l'espèce, le litige, relatif au droit du recourant à une rente d'invalidité, porte sur l'atteinte à la santé et son incidence sur la capacité de travail et de gain, singulièrement sur le point de savoir si l'invalidité s'est modifiée de façon à influencer le droit à la prestation pendant la période entre la décision sur opposition du 26 mars 2008 et la décision litigieuse du 7 octobre 2009. a) Tant le droit au reclassement professionnel (art. 17 LAI) que le droit à une rente (art. 28 LAI) supposent que l'assuré soit invalide ou menacé d'une invalidité imminente (art. 8 al. 1 LAI). Selon l'art. 4 al. 1 LAI, l'invalidité peut résulter d'une infirmité congénitale, d'une maladie ou d'un accident.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3.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130 V 68 consid. 5.2.3, 125 V 412 consid. 2b, 117 V 200 consid. 4b et les références). A cet égard, une appréciation différente de la même situation médicale ne permet pas encore de conclure à l'existence d'une aggravation (ATF 112 V 372 consid. 2b; SVR 1996 IV no 70, p. 204 consid. 3a et les références; Meyer-Blaser, Rechtsprechung des Bundesgerichts zum IVG, p. 259).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67/02 du 2 décembre 2003 consid. 2, I 52/03 du 16 janvier 2004 consid. 2.1). b) Ce contrôle par l'autorité judiciaire n'est en revanche pas nécessaire lorsque l'administration est entrée en matière sur la nouvelle demande ( ATF 109 V 114 consid. 2b,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75 consid. 3.2). 4. a) En l’occurrence, contrairement à ce que semble croire le recourant, l'intimé est entré en matière sur la nouvelle demande de prestations de l'assuré, déposée seulement quelques semaines après l'entrée en force de la décision de refus de rente. Ainsi, après avoir examiné le rapport médical du 18 décembre 2008 de la Dresse K.________, le courrier du 19 septembre 2008, ainsi que le rapport médical du 4 mai 2009 de la Dresse R.________, les rapports des 12 mars 2008 du Dr Q.________, 12 février 2009 relative à une IRM cérébrale et 19 janvier 2009 relative à un examen neuropsychologique, ainsi que les avis médicaux des 9 octobre 2008 et 13 juillet 2009 du Dr L.________ du SMR, l'intimé a considéré, par décision du 7 octobre 2009, que l’état de santé psychique de l’assuré ne s'était pas aggravé depuis la décision sur opposition du 26 mars 2008. Pour sa part, le recourant ne critique pas la décision sur opposition précitée, mais estime que dans l’intervalle, les circonstances ont changé, puisqu’il est question de maladies graves nécessitant des investigations, ainsi qu'un tableau de dépression grave et chronique auquel s'ajoute des symptômes psychotiques. Il y a dès lors lieu d'examiner si le degré d'invalidité s'est modifié au point d'influencer le droit aux prestations, en procédant à la comparaison des situations de fait existant au moment de la décision sur opposition du 26 mars 2008 et la décision litigieuse du 7 octobre 2009. La décision initiale est essentiellement basée sur le rapport d'expertise du 18 novembre 2004 du Dr D.________, complété à la demande du SMR en date du 21 octobre 2005. L'expert avait exclu une symptomatologie dépressive et anxieuse moyenne ou sévère, un trouble majeur de la personnalité, ainsi que la présence de symptômes psychotiques, suspectant une évolution vers une névrose de rente. S'agissant de la symptomatologie douloureuse, l'expert la qualifiait d'hystériforme, ajoutant qu'elle était atypique tant par ses caractéristiques que sa localisation. b) Sur le plan neuropsychologique, l'examen effectué par le Prof. P.________ le 19 janvier 2009 a mis en évidence une péjoration globale des fonctions cognitives, mais n'a pas permis d'en tirer des conclusions précises, en raison de discordances qualifiées d'importantes par la praticienne précitée dans les performances de l'examen. Quant à l'examen neurologique réalisé par le Dr Q.________ le 12 mars 2008, ce dernier a conclu à un état psychotique, associé à des troubles de l'équilibre d'origine incertaine. Par la suite, la Dresse K.________ a été en mesure d'écarter les maladies de Huntington et de Wilson (avis du SMR du 13 juillet 2009), évoquées dans un premier temps comme explication par le Dr Q.________. Par ailleurs, l'IRM cérébrale pratiquée le 12 février 2009 était normale, l'aspect étant en outre inchangé depuis 2003. La Dresse R.________ a toutefois précisé que l'assuré présentait des troubles cognitifs marqués, l'handicapant même dans sa vie quotidienne avec un état de régression et de retrait social important (rapport du 19 septembre 2008), élément également mis en évidence par le Centre de réhabilitation de l'Hôpital de U.________ qui a noté que le recourant éprouvait des difficultés à assumer ses besoins de première nécessité (orientation dans le temps et dans l'espace, accès aux toilettes, communication avec autrui), ne donnant au demeurant pas l'impression d'être un simulateur (rapport d'observation du 7 juillet 2008). Sur le plan psychique, dans son rapport du 4 mai 2009, la Dresse R.________ a retenu les diagnostics de modification durable de la personnalité après un accident professionnel (présent depuis 2003), d'épisode dépressif sévère avec symptômes psychotiques (présent depuis 2006) et de syndrome douloureux somatoforme persistant (présent depuis 2003). Ce faisant, la Dresse R.________, compte tenu des indications subjectives de son patient, a confirmé les diagnostics de modification durable de la personnalité après un accident professionnel (présent depuis 2003) et d'épisode dépressif sévère qui avaient déjà été avancés par le Dr V.________ en 2005 (rapport médical du 18 janvier 2005), ayant nécessité par la suite une hospitalisation en raison de symptômes psychotiques (rapport de la Dresse K.________ du 13 novembre 2006) et la mise en place d'un réseau de soins important associant une assistante sociale de Y.________, une infirmière en psychiatrie passant une fois par jour pour dispenser la médication et effectuer une évaluation de son état, un autre assistant social, une ergothérapeute de manière ponctuelle, ainsi que l'administration d'un traitement médicamenteux lourd et complexe. Au vu de ces éléments, une péjoration de l'état de santé du recourant n'est donc pas exclue. A cela s'ajoute que l'expertise psychiatrique du Dr D.________ est trop ancienne pour déterminer si l'état de santé psychique de l'assuré peut toujours ou non s'expliquer par son attitude globale, comme l'avait retenu l'expert en 2004 (rapport d'expertise psychiatrique du 18 novembre 2004 et complément du 21 octobre 2005). 5. a) Dans ces conditions, la Cour de céans considère qu'en l'état actuel du dossier, il subsiste des incertitudes quant à savoir si l'état de santé de l'assuré s'est effectivement péjoré jusqu'à la date de la décision attaquée, au point d'entraîner une incapacité de travail et de gain durable pouvant, le cas échéant, ouvrir droit à une rente. L'instruction menée par l'intimé est insuffisante, compte tenu de l'ancienneté de l'expertise psychiatrique du recourant et ne permet pas de trancher le litige à satisfaction de droit. b) Partant, le Tribunal de céans n'a pas d'autre alternative que d'annuler la décision attaquée et de renvoyer la cause à l'intimé afin qu'il complète l'instruction par la mise en œuvre d'une expertise (art. 44 LPGA), respectivement toute mesure utile au regard des affections présentées par le recourant, puis qu'il rende une nouvelle décision. 6. a) En dérogation à l'art. 61 let. a LPGA, la procédure de recours en matière de contestations portant sur l'octroi ou le refus de prestations de l'assurance-invalidité devant le tribunal cantonal des assurances est soumise à des frais de justice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dans le cadre de la présente procédure. b) Ayant obtenu gain de cause, le recourant a droit à des dépens (art. 55 LPA-VD et art. 61 let. g LPGA), qu'il y a lieu de fixer à 1659 fr. 20 compte tenu des opérations nécessaires effectuées par son avocat (art. 7 al. 1 du Tarif des frais judiciaires et des dépens en matière de droit des assurances sociales [TFJAS; RSV 173.36.5.2]), ce montant couvrant la somme réclamée par le Conseil de la recourante à titre d'indemnité AJ. Il n'y a dès lors pas lieu de fixer la rémunération de l'avocat d'office dans le cadre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