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52/21 - 202/2022 vom 23. Juni 2022</w:t>
      </w:r>
    </w:p>
    <w:p>
      <w:r>
        <w:t>VD Tribunal cantonal, 2022-06-23, FR</w:t>
      </w:r>
    </w:p>
    <w:p>
      <w:r>
        <w:rPr>
          <w:b/>
        </w:rPr>
        <w:t xml:space="preserve">Quelle: </w:t>
      </w:r>
      <w:r>
        <w:t>https://mcp.opencaselaw.ch/entscheid/vd_findinfo_AI_52_21_-_202_2022___________</w:t>
      </w:r>
    </w:p>
    <w:p>
      <w:r>
        <w:t>FR: VD_FINDINFO AI 52/21 - 202/2022 du 23 juin 2022</w:t>
      </w:r>
    </w:p>
    <w:p>
      <w:r>
        <w:t>IT: VD_FINDINFO AI 52/21 - 202/2022 del 23 giugno 2022</w:t>
      </w:r>
    </w:p>
    <w:p>
      <w:pPr>
        <w:pStyle w:val="Heading2"/>
      </w:pPr>
      <w:r>
        <w:t>Regeste</w:t>
      </w:r>
    </w:p>
    <w:p>
      <w:r>
        <w:t>ÉVALUATION DE L'INVALIDITÉ, EXPERTISE MÉDICALE, AFFECTION PSYCHIQUE, ATTEINTE À LA SANTÉ PHYSIQUE | 28 al. 1 LAI, 43 LAI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à une rentre d'invalidité du recourant.</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janvier 2021 (ATF 144 V 210 consid. 4.3.1 ;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En l'espèce, il convient d'examiner la valeur probante de l'expertise du 15 juin 2020 du W.________, laquelle fonde la décision dont est recours. a) Dans ce cadre, il doit d'emblée être écarté le reproche de partialité formulé par le recourant à l'encontre du centre d'expertise mandaté. S'agissant de sa critique relative au nombre important de mandats d'expertise confiés au W.________, elle n'est en effet pas pertinente. Il est rappelé à ce propos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références ; TF 9C_635/2018 du 5 décembre 2018 consid. 3 ; TF 8C_146/2016 du 9 août 2016 consid. 3.2). De même, le seul fait allégué que le W.________ ait été fondé et soit géré par d'anciens médecins du SMR ne suffit pas à mettre en cause l'indépendance des médecins y travaillant ni à dénier toute valeur probante à leurs expertises. Il ne s'agit pas d'un fait qui mettrait en évidence un lien de subordination entre le centre d'expertises et l'assurance-invalidité (TF 9C_241/2021 du 18 novembre 2021 consid. 6.2). A cet égard, le recourant n'apporte par ailleurs aucun élément concret démontrant que ledit centre se positionnerait systématiquement en faveur des intérêts de l'intimé, respectivement serait dans une situation de dépendance économique face à l'intimé. b) L'intéressé fait également valoir que la durée de l'examen psychiatrique n'aurait pas été de deux heures et demie ou d'une heure et quart, tel que mentionné de manière contradictoire dans l'expertise, mais de 45 minutes seulement, élément qui jetterait le doute sur la valeur probante de l'expertise. Il est toutefois manifeste qu'une simple erreur de plume n'est pas de nature à mettre en cause la validité de l'expertise, d'autant que le recourant n'apporte pas lui-même la preuve de la durée de l'entretien. De surcroît, selon lui, la durée de l'examen psychiatrique serait, quoi qu'il en soit, insuffisante pour apprécier l'existence de troubles de la personnalité et / ou du comportement chez l'adulte (CIM-10 F 60 – F 69), la CIM-10 indiquant que, dans ce domaine, plusieurs entretiens étaient nécessaires pour poser un diagnostic. Or, le recourant perd de vue que la durée de l'examen n'est pas en soi un critère de la valeur probante d'un rapport médical et ne saurait remettre en question la valeur du travail de l'expert, dont le rôle consiste à se prononcer sur l'état de santé, notamment psychique, de l'expertisé dans un délai relativement bref. Elle ne peut par ailleurs être comparée à celle des consultations chez un psychiatre traitant, auprès duquel le recourant bénéficiait d'un suivi psychiatrique régulier (TF 9C_684/2020 du 3 février 2021 consid. 5.2 ; TF 9C_542/2020 du 16 décembre 2020 consid. 7.4 ; TF 9C_87/2018 du 5 avril 2018 consid. 3.3).</w:t>
      </w:r>
    </w:p>
    <w:p>
      <w:r>
        <w:rPr>
          <w:b/>
        </w:rPr>
        <w:t>E. 6</w:t>
      </w:r>
    </w:p>
    <w:p>
      <w:r>
        <w:t>Cela posé, il convient néanmoins de constater qu'en l'occurrence, l'expertise du 15 juin 2020 ne saurait se voir reconnaître force probante. a) S'agissant en premier lieu du volet psychiatrique, l'anamnèse, en particulier familiale et personnelle, est lacunaire, et les plaintes du recourant semblent avoir été minimisées, voire ne pas avoir été prises en compte. L'expertise n'est, par ailleurs, pas clairement structurée et contient des incohérences, s'agissant notamment des limitations fonctionnelles. De même, l'expert psychiatre n'a pas motivé de manière suffisante l'absence de diagnostic psychiatrique, respectivement n'a pas discuté avec le soin requis des atteintes anxiodépressives du recourant. aa) Dans l'anamnèse familiale et personnelle, l'expert psychiatre a mentionné « des difficultés avec les parents », relevant à juste titre le vraisemblable suicide du père, décrit comme un dictateur peu enclin à délivrer de l'affection, et le traumatisme d'une mère ayant effectué une phlébotomie devant le recourant dans son enfance. Néanmoins, il n'est pas revenu sur les violences infligées par le père, notamment les scènes violentes auxquelles avait assisté le recourant, ou ses questionnements entourant le décès de celui-ci. L'expert n'a également pas évoqué la rupture sentimentale en 2012, suivie de la dissolution difficile du partenariat enregistré, laquelle était survenue peu de temps après le licenciement du poste de trader occupé par le recourant à [...] en 2011. Ces éléments étaient pourtant décrits par le Dr K.________, dans son rapport du 23 novembre 2018, et ont été considérés par les Drs  H.________ et B.________, à teneur de leur rapport du 25 juin 2021, comme ayant contribué à une fragilité psychologique chez le recourant. Ces éléments semblent ainsi, selon toute vraisemblance, avoir eu un impact sur la santé psychique du recourant. bb) S'agissant des troubles anxiodépressifs, si l'expert psychiatre a relevé que le recourant avait été infecté par le VIH en 2014 et que l'état de santé de sa mère s'était péjoré depuis 2017 avec une hospitalisation en EMS en raison d'une démence fronto-temporale, ce spécialiste n'a toutefois pas mentionné les angoisses et l'état dépressif liés à ces événements. Ces éléments ressortaient cependant clairement des rapports des 23 novembre 2018 et 24 juillet 2019 du Dr K.________, lequel avait souligné que le recourant ressentait de fortes angoisses en lien avec sa maladie somatique et l'état de santé de sa mère, dont la péjoration avait entrainé une majoration de son état anxiodépressif, et connaissait régulièrement d'importants passages dépressifs. Ce psychiatre avait également constaté une crainte – voire une terreur – du recourant à l'idée de perdre son autonomie psychique, de la même manière que sa mère. De surcroît, les Drs  H.________ et B.________ ont souligné l'importance desdits événement sur l'état thymique du recourant, ceux-ci ayant estimé que si sa fragilité psychologique ne l'avait pas empêché de fonctionner socialement jusqu'en 2013, un tableau clinique de la lignée dépressive était apparu à compter de l'infection au VIH et s'était par la suite compliqué en raison de plusieurs traumatismes majeurs, dont les problèmes de santé de sa mère en 2017. De même, dans le chapitre intitulé « anamnèse psychiatrique systématique », l'expert a nié l'existence de syndrome somatique de la dépression, ayant notamment relevé l'absence de diminution de l'intérêt et du plaisir pour les activités habituellement agréables, d'un manque de réactivité à des événements habituellement agréables ou d'une perte d'appétit / de poids marquée (une prise pondérale de 20 kg ayant été mentionnée), étant relevé que ce dernier critère ne semble toutefois pas pertinent dans le cas d'espèce, le recourant bénéficiant d'un traitement trithérapique , dont la prise de poids était un effet secondaire reconnu (cf. rapport du 27 octobre 2020 de la Dre  T.________). L'expert a également indiqué qu' un épisode dépressif caractérisé n'était pas retenu au sein de son travail. Il y a lieu de constater qu'au sein dudit chapitre – lequel est supposé correspondre aux données subjectives de l'expertisé –, l'expert n'a, d'une part, pas clairement distingué entre les indications subjectives fournies par le recourant et ses propres constatations objectives. D'autre part, l'expert a directement tiré des conclusions quant à un éventuel état dépressif, affirmant qu'un épisode dépressif caractérisé n'était pas retenu au sein de son travail, sans toutefois motiver ou étayer sa prise de position. De surcroît, il semble exister une incohérence entre les explications de la neuropsychologue, laquelle relevait, dans son rapport du 8 juin 2020, un score significatif à un questionnaire auto-évaluatif de dépistage de la symptomatologie anxiodépressive, et les indications de l'expert, desquelles il ne ressort pas un tel niveau de plaintes concernant les troubles de la lignée anxiodépressive. De même, les constatations de l'expert diffèrent sensiblement de celles du Dr K.________, dans son rapport du 23 novembre 2018, et de celles des Drs  H.________ et B.________, lesquels mentionnaient, dans leurs rapports des 25 juin et 3 novembre 2021, un tableau clinique de la lignée dépressive avec une thymie abaissée, une perte de l'élan vital, une aboulie, des troubles du sommeil et une perte de plaisir dans les activités habituelles. Finalement, l'expert n'a pas sérieusement discuté les différents diagnostics envisageables de la lignée anxiodépressive, notamment celui de trouble anxieux et dépressif mixte posé par le Dr K.________ dans son rapport du 23 novembre 2018. Il s'est en effet contenté de relever qu'il n'existait pas d'infléchissement thymique (sévère) chez le recourant, lequel procédait à une modulation affective efficiente, ni d'anxiété paroxystique, telle que potentiellement présente au sein d'attaques de panique. Lesdites conclusions, peu développées, associées à l'absence de mention des angoisses et de l'état dépressif liés à certains événements marquants de la vie du recourant, ainsi qu'aux constatations peu motivées sur l'absence d'un épisode dépressif caractérisé, laissent ainsi planer le doute sur leur validité. Par ailleurs, depuis l'expertise, les psychiatres traitants ont confirmé un diagnostic de trouble dépressif récurrent, épisode actuel moyen, et estimé que les atteintes dépressives avaient une influence sur la capacité de travail et les limitations fonctionnelles du recourant (cf. rapports du 2 septembre 2020 du Dr K.________, du 25 juin 2021 des Drs  H.________ et B.________ et du 3 novembre 2021 du Dr B.________). cc) Enfin, dans le paragraphe dédié aux ressources du recourant, l'expert psychiatre a mentionné que la capacité d'endurance était amoindrie au motif d'une asthénie. Dans ces circonstances, il paraît contradictoire que l'expert n'ait fait état d'aucune limitation fonctionnelle, respectivement n'ait pas discuté de cet élément en lien avec la capacité de travail du recourant, une endurance réduite pouvant potentiellement justifier une diminution de rendement. A cet égard, le fait que la neuropsychologue ait mentionné, dans son rapport du 8 juin 2020, que les troubles du sommeil décrits, soit une fatigue et des insomnies, étaient susceptibles de s'améliorer grâce à une meilleure hygiène de sommeil n'est pas relevant. En effet, les experts n'ont pas déterminé la cause de ladite fatigue, ce qu'a d'ailleurs confirmé la Dre Z.________ dans son avis SMR du 26 octobre 2020. Son amendement par une meilleure hygiène de sommeil ne saurait ainsi être présumée, en particulier s'agissant d'un recourant, d'une part, soumis à une trithérapie, dont l'état de fatigue récurrent est un symptôme secondaire reconnu pouvant avoir des conséquences sur la capacité de travail (cf. rapport du 27 octobre 2020 de la Dre  T.________), et, d'autre part, susceptible d'être atteint d'un trouble de la lignée dépressive, dont la fatigue est également un symptôme connu. b) S'agissant en second lieu du volet somatique, l'experte en médecine interne n'a pas soigneusement examiné et discuté les troubles du sommeil du recourant évoqués par le Dr K.________ (notamment l’insomnie et les crises de somnambulisme ; cf. rapports des 23 novembre 2018, 24 juillet 2019 et 4 septembre 2020), ni les effets secondaires induits par le traitement trithérapique, ce qui correspond pourtant à la plainte principale du recourant, respectivement déterminé leurs impacts sur la capacité de travail du recourant. En effet, cette experte a indiqué que le recourant se plaignait, en sus des troubles neuropsychologiques examinés séparément par A.________, d'une fatigue, de somnambulisme, de troubles du sommeil, d'un mal être, d'une perte de musculature, d'une prise de poids, d'éruptions cutanées périodiques, de palpitations après la prise du Triumeq, d'un transit irrégulier avec des constipations et de céphalées par phases. Elle s'est toutefois limitée à renvoyer à l'avis des infectiologues – ce par quoi il faut comprendre le rapport du 4 mai 2018 de la Dre  T.________ –, relevant que ceux-ci n'avaient pas évoqué les troubles subjectifs imputés au traitement antirétroviral pour justifier une incapacité de travail. Or, dans le rapport susdit, la Dre  T.________ s'était abstenue de se prononcer sur la capacité de travail du recourant. En effet, si elle faisait bien état des plaintes du recourant (fatigue, moral bas, troubles neuropsychologiques), elle indiquait que la capacité de travail dépendrait de l'évolution des troubles neuropsychologiques, lesquels étaient en cours d'investigation, et de la possibilité d'en traiter la cause, le pronostic restant toutefois moyen. Quant aux limitations fonctionnelles, elle mentionnait expressément ne pas être en mesure de se déterminer. Par conséquent, l'experte en médecine interne ne pouvait parvenir à la conclusion susmentionnée et il ne saurait être considéré que les effets de la trithérapie aient été sérieusement examinés. c) Il découle de ce qui précède que l'intimé ne pouvait fonder sa décision de refus de rente sur l'expertise du 15 juin 2020 du W.________.</w:t>
      </w:r>
    </w:p>
    <w:p>
      <w:r>
        <w:rPr>
          <w:b/>
        </w:rPr>
        <w:t>E. 7</w:t>
      </w:r>
    </w:p>
    <w:p>
      <w:r>
        <w:t>A ce stade, les pièces médicales au dossier ne permettent pas à la Cour de céans de se prononcer sur la capacité de travail du recourant et, partant, sur son taux d'invalidité. En effet, sur le plan somatique, la Dre T.________, dans ses rapports des 18 juin et 27 octobre 2020, ne s'est pas déterminée sur ces questions. De même, elle s'est principalement faite l'écho des plaintes rapportées par le recourant, tout en constatant une obésité, un status physique sans particularité et un bilan biologique dans les normes. Sur le plan psychiatrique, les différents médecins traitants sont arrivés à des conclusions différentes quant à l'incapacité de travail du recourant dans une activité adaptée, estimée, d'une part, à 100 % par le Dr K.________, dans ses rapports des 23 novembre 2018, 24 juillet 2019 et 2 septembre 2020 – étant constaté que ce psychiatre a essentiellement rapporté l'appréciation du recourant – et, d'autre part, à 50 % par les Drs  H.________ et B.________, à teneur de leurs rapports des 25 juin et 3 novembre 2021. Du reste, certains éléments au dossier appellent des clarifications. En effet, le recourant semble, a priori , avoir conservé certaines ressources, étant le curateur de sa mère et gérant un petit parc immobilier. De même, il n'a jamais été hospitalisé en psychiatrie, ne bénéficiait que d'un léger (voire d'aucun) traitement psychopharmacologique – le Dr K.________ ayant relevé, dans son rapport du 24 juillet 2019, que le recourant ne prenait qu'une demi-capsule par jour d'antidépresseur tricyclique, refusant une médication plus adaptée – et, au moment de la décision litigieuse, était consulté par sa psychologue deux fois par mois, respectivement par son psychiatre trois fois par année. Par ailleurs, dans son rapport du 27 octobre 2020, la Dre  T.________ a mentionné qu'un changement de trithérapie avait été proposé à plusieurs reprises, le recourant ayant toutefois préféré conserver le traitement actuel – lequel était efficace –, mais qu'une tentative de simplification par une bithérapie était envisagée. Compte tenu de ces éléments, il est dès lors nécessaire d'obtenir une appréciation quant à l'adéquation et à l'évolution des traitements mis en œuvre depuis le dépôt de la demande de prestations, en particulier de la trithérapie, dont les effets secondaires constitueraient, selon le recourant, une des causes principales de ses troubles. Il apparaît également utile, le cas échéant, que soient examinées, dans le cadre d'un concilium entre les spécialistes somaticiens et psychiatres, les superpositions pouvant exister entre lesdits effets secondaires et les symptômes de la lignée dépressive, ceux-ci étant susceptibles de se juxtaposer, afin qu'une appréciation globale de la capacité de travail et des limitations fonctionnelles du recourant puisse être effectuée.</w:t>
      </w:r>
    </w:p>
    <w:p>
      <w:r>
        <w:rPr>
          <w:b/>
        </w:rPr>
        <w:t>E. 8</w:t>
      </w:r>
    </w:p>
    <w:p>
      <w:r>
        <w:t>Il ressort ainsi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afin que soit mise en œuvre une expertise pluridisciplinaire, portant sur des volets psychiatrique, de médecine interne générale, en infectiologie et en toxicologie, comprenant également une évaluation des troubles du sommeil par un examen spécialisé, telle qu’une polysomnographie, pour que soient en particulier évaluées la capacité de travail du recourant, ses limitations fonctionnelles, l'adéquation des traitements mis en œuvre et, le cas échéant, les interactions existant entre les atteintes somatiques et psychiatriques.</w:t>
      </w:r>
    </w:p>
    <w:p>
      <w:r>
        <w:rPr>
          <w:b/>
        </w:rPr>
        <w:t>E. 9</w:t>
      </w:r>
    </w:p>
    <w:p>
      <w:r>
        <w:t>Compte tenu de l'issue du litige et par appréciation anticipée des moyens de preuve (TF 8C_253/2020 du 12 novembre 2020 consid. 3.2 et les références citées), il n'y a pas lieu de donner suite aux mesures d'instruction requises par le recourant, que ce soit par la mise en œuvre d’une expertise judiciaire ou de débats publics, étant précisé que le recourant requiert en l'occurrence la tenue d'une telle audience dans le but de se faire auditionner à titre de moyen de preuve, celui-ci l'ayant justifiée par la nécessité que la Cour de céans « se rende compte de l'importance de ses atteintes à la santé » (ATF 122 II 464 consid. 4 ; TF 2C_153/2010 du 10 septembre 2010 consid. 3.2 ; Jean Métral, in Dupont / Moser-Szeless [édit.], Loi sur la partie générale des assurances sociales, Commentaire romand, Bâle 2018, n°17 ad art. 61 LPGA).</w:t>
      </w:r>
    </w:p>
    <w:p>
      <w:r>
        <w:rPr>
          <w:b/>
        </w:rPr>
        <w:t>E. 10</w:t>
      </w:r>
    </w:p>
    <w:p>
      <w:r>
        <w:t>a) En définitive, le recours est admis. Partant, la décision du 11 janvier 2021 est annulée, la cause étant renvoyée à l’intimé pour complément d’instruction, puis nouvelle décision dans le sens des considérants.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