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51/11 - 375/2012 vom 21. November 2012</w:t>
      </w:r>
    </w:p>
    <w:p>
      <w:r>
        <w:t>VD Tribunal cantonal, 2012-11-21, FR</w:t>
      </w:r>
    </w:p>
    <w:p>
      <w:r>
        <w:rPr>
          <w:b/>
        </w:rPr>
        <w:t xml:space="preserve">Quelle: </w:t>
      </w:r>
      <w:r>
        <w:t>https://mcp.opencaselaw.ch/entscheid/vd_findinfo_AI_51_11_-_375_2012</w:t>
      </w:r>
    </w:p>
    <w:p>
      <w:r>
        <w:t>FR: VD_FINDINFO AI 51/11 - 375/2012 du 21 novembre 2012</w:t>
      </w:r>
    </w:p>
    <w:p>
      <w:r>
        <w:t>IT: VD_FINDINFO AI 51/11 - 375/2012 del 21 novembre 2012</w:t>
      </w:r>
    </w:p>
    <w:p>
      <w:pPr>
        <w:pStyle w:val="Heading2"/>
      </w:pPr>
      <w:r>
        <w:t>Regeste</w:t>
      </w:r>
    </w:p>
    <w:p>
      <w:r>
        <w:t>RENTE D'INVALIDITÉ, DEGRÉ DE L'INVALIDITÉ, ÉVALUATION DE L'INVALIDITÉ, RECONVERSION PROFESSIONNELLE | 17 al. 1 LAI, 28 al. 2 LAI, 4 al. 1 LAI, 16 LPGA, 6 LPGA, 7 LPGA, 8 LPGA</w:t>
      </w:r>
    </w:p>
    <w:p>
      <w:pPr>
        <w:pStyle w:val="Heading2"/>
      </w:pPr>
      <w:r>
        <w:t>Erwägungen</w:t>
      </w:r>
    </w:p>
    <w:p>
      <w:r>
        <w:rPr>
          <w:b/>
        </w:rPr>
        <w:t>E. 1</w:t>
      </w:r>
    </w:p>
    <w:p>
      <w:r>
        <w:t>er septembre 2009. Ce médecin a précisé que son patient présentait probablement des gonalgies résiduelles et des épigastralgies, que l'activité exercée habituellement n'était probablement plus exigible et qu'il convenait de s'adresser à l'Hôpital U.________ en ce qui concernait l'exigibilité d'une activité professionnelle adaptée, lui-même ne pouvant se prononcer puisque ce n'est pas lui qui avait suivi l'assuré pour l'affection orthopédique. Le 9 août 2010, le Dr X.________, chef de clinique auprès du Département de l'appareil locomoteur de l'Hôpital U.________, a écrit au Dr R.________ en ces termes : "Le patient susnommé a été revu à notre consultation toujours pour son problème de gonalgies gauche en date du 06.08.2010. Diagnostic : · Gonarthrose varisante gauche. · Status après méniscectomie interne gauche en mai 2008. · Suspicion de déchirure méniscale externe. · Chondropathie fémoro-patellaire débutante. J'avais vu ce patient déjà début 2009. On lui avait proposé une chirurgie qu'il avait refusée et, de plus, il y avait des difficultés au niveau de la prise en charge financière de cette opération. En attendant, le patient présente toujours des gonalgies mécaniques associées, depuis quelques mois, à des épanchements de son genou gauche. Présence également de pseudo-blocages en absence de lâchage. Il a eu des traitements de physiothérapie intermittents et prend du Brufen en réserve. Sur le plan socioprofessionnel, depuis son accident de 2007, il n'a jamais vraiment repris le travail. A savoir qu'il était intérimaire travaillant plutôt sur des chantiers, travail qui n'est plus envisageable maintenant. Le cas est annoncé à l'AI mais sans décision jusqu'à ce jour. Sa capacité de travail est estimée à 50 % dans un métier adapté, sans qu'il n'y ait de projet concret à la reprise du travail. Cliniquement, membres inférieurs en varus de 2 TD. Marche sans boiterie. Epanchement +. Signes rotuliens faiblement positifs. Douleurs du compartiment interne mais également sous-rotuliennes. Mobilité 0-0-140°. Genou stable dans le plan frontal. Signes méniscaux négatifs. Palpation du compartiment interne douloureuse. Lachman et tiroir postérieur négatifs. Hanche libre et indolore. Absence de trouble neurovasculaire. Le bilan radiologique montre un pincement stade II au niveau fémoro-tibial interne et un début d'ostéophytose. Varus. Il a eu une IRM en janvier 2010 dont je ne dispose pas des images qui, selon mon collègue le Dr Z.________, montrent une ostéochondrite disséquante. Intéressement, le CT effectué en même temps ne montre pas de fragment libre. Je pense qu'il s'agit donc plutôt d'une chondropathie avec une réaction sous-condrale. Il est clair que tout geste arthroscopique est vain chez ce patient présentant une gonarthrose interne. Le traitement approprié serait une ostéotomie de valgisation d'ouverture interne. Arthroscopie par la même occasion pour traiter la lésion ostéochondrale. Le patient reste toujours extrêmement angoissé vis-à-vis d'une telle intervention. Il réfléchira. En attendant, physiothérapie, semelles valgisantes, antalgie en réserve. Rendez-vous dans 6 semaines." Par courrier du 10 août 2010, l'assuré a requis de l'OAI qu'il appuie sa démarche pour l'obtention d'un permis de conduire de taxi et exposé que, pour ce faire, il avait besoin d'une aide financière ou d'une prise en charge dans le cadre d'une "formation adaptée assurance-invalidité". Le 13 août 2010, l'assuré a été examiné par le Dr B.________, spécialiste en médecine physique et réadaptation du Service médical régional de l'OAI (ci-après : SMR). Dans son rapport médical du 13 septembre 2010, ce spécialiste a notamment indiqué ce qui suit : " ANAMNESE (…) Antécédents personnels L’assuré évoque un 1 er traumatisme du genou dans le cadre de la pratique du football à titre amateur en 2007, avec contusion du genou et entorse à l’origine de gonalgies, répondant favorablement au traitement conservateur. Lombosciatalgies G avec dysesthésie et phénomène de décharges électriques dans le membre inférieur G évoluant depuis les années 2000-2001. Entorse du genou G survenue au mois de mars 2008. Status après arthroscopie et ablation partielle du ménisque interne G au mois de mai 2008. Anamnèse actuelle L’assuré déclare des douleurs mécaniques au niveau du rachis lombaire, avec irradiation au niveau du membre inférieur G, accompagnées de phénomènes de décharges électriques et picotements. Il signale aussi des phénomènes de faiblesse avec lâchage de tout le membre inférieur G. Cette symptomatologie évolue depuis 2000-2001, elle n’a pas de facteur favorisant particulier, hormis l’activité à forte charge physique habituellement exercée par l’assuré. Lors de la survenue de cette symptomatologie en 2001, une IRM lombaire est réalisée, celle-ci met en évidence une volumineuse hernie discale L5-S1 paramédiane G, partiellement luxée vers le bas, réduisant fortement le diamètre du canal rachidien. Actuellement, l’assuré décrit des douleurs de type mécanique, exacerbées par le port de charges, les positions statiques prolongées, les activités en torsion, porte-à-faux du tronc, contre résistance. Il évoque aussi des phénomènes de blocage lombaire pouvant survenir à la suite de faux mouvements et une exacerbation de la douleur lors des changements de position assis-debout avec sentiment de coups de couteaux au niveau de la jonction lombosacrée. En</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w:t>
      </w:r>
    </w:p>
    <w:p>
      <w:r>
        <w:rPr>
          <w:b/>
        </w:rPr>
        <w:t>E. 3</w:t>
      </w:r>
    </w:p>
    <w:p>
      <w:r>
        <w:t>En l’occurrence, le litige porte sur la question de savoir si l’OAI était fondé à refuser l'octroi d'une rente d’invalidité au recourant.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Lorsque sont présentes simultanément des atteintes sur les plans somatiques et psychiques, le taux d'incapacité de travail ne résulte pas de la simple addition ou de la moyenne de deux taux d'incapacité de travail (d'origine somatique et psychique), mais procède bien plutôt d'une évaluation globale (Meine, L'expert et l'expertise – critères de validité de l'expertise médicale, in : L'expertise médicale, Genève 2002, pp. 23 ss ; Paychère, Le juge et l'expert – plaidoyer pour une meilleure compréhension, in : L'expertise médicale, Genève 2002, p. 147 ; TF 9C_460/2010 du 16 décembre 2010, consid. 2.1, 9C_87/2008 du 9 octobre 2008, consid. 3 ; TFA I 131/2003 du 22 mars 2004, consid. 2.3).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En outre, en matière d’assurances sociales, s’agissant de l’appréciation des renseignements d’ordre médical, la jurisprudence fédérale attache une présomption d’objectivité aux expertises ordonnées pour résoudre un cas litigieux. Le juge des assurances sociales ne peut, sans motifs concluants, s’écarter de l’avis exprimé par les experts et/ou substituer son avis à celui exprimé par ces spécialistes dont c’est précisément le rôle de mettre leurs connaissances particulières au service de la justice pour qualifier un état de fait déterminé (VSI 2000 p. 152 et les références citées).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au motif qu’il émane du médecin traitant ou d’un médecin se trouvant en rapport de subordination avec un assureur (TF 9C_607/2008 du 27 avril 2009, consid. 3.2). d)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in fine, 102 V 165 ; VSI 2001 p. 224 consid. 2b et les références citées ; TF 9C_547/2008 du 19 juin 2009, consid. 2.1).</w:t>
      </w:r>
    </w:p>
    <w:p>
      <w:r>
        <w:rPr>
          <w:b/>
        </w:rPr>
        <w:t>E. 4</w:t>
      </w:r>
    </w:p>
    <w:p>
      <w:r>
        <w:t>a) La comparaison des revenus selon l'art. 16 LPGA s'effectue, en principe, en chiffrant aussi exactement que possible les montants des revenus avec et sans invalidité et en les confrontant l'un avec l'autre, la différence permettant de calculer le taux d'invalidité (ATF 130 V 343, consid. 3.4 et 128 V 29, consid. 1 ; TF 8C_708/2007 du 21 août 2008, consid. 2.1). Ainsi,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 TF I 1034/06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(cf. TF 8C_287/2010 du 18 novembre 2010) et que le gain obtenu correspond au travail effectivement fourni et ne contient pas d'éléments de salaire social, c'est le revenu effectivement réalisé qui doit être pris en compte pour fixer le revenu d'invalide.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7/06 du 12 janvier 2007, consid. 5.2 ; VSI 1999 p. 182). Toutefois,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Bundesgesetz über den Allgemeinen Teil des Sozialversicherungsrechts [ASTG], in : Schweizerisches Bundesverwaltungsrecht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En outre, selon la jurisprudence constante du Tribunal fédéral (TF 9C_393/2008 du 27 janvier 2009, consid. 3.4 ; TF 9C_612/2007 du 14 juillet 2008, consid. 5.1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citées, in :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 RCC 1991 p. 329 ; TFA I 329/88 du 25 janvier 1989, consid. 4a, in :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 VSI 1999 p. 246). Toutefois, lorsqu'il s'agit d'évaluer l'invalidité d'un assuré qui se trouve proche de l'âge donnant droit à la rente de vieillesse – la jurisprudence admettant que tel est le cas à partir d’un âge de 60 ans pour un homme, soit 5 ans avant l'ouverture de son droit à une rente de vieillesse (cf. TF 9C_612/2007 du 14 juillet 2008, consid. 5.2 et la référence citée),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et les références citées).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citées).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p. 109).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 citées). c) Selon le ch. 4026 de la Circulaire sur les mesures de réadaptation d’ordre professionnel (CMRP), si une personne assurée choisit, sans nécessité liée à l’invalidité, une formation qui dépasse le cadre d’équivalence, l’AI peut lui octroyer une contribution correspondant à celle que devrait supporter l’AI dans le cas d’une mesure de reclassement équivalente (VSI 2002 p. 108).</w:t>
      </w:r>
    </w:p>
    <w:p>
      <w:r>
        <w:rPr>
          <w:b/>
        </w:rPr>
        <w:t>E. 5</w:t>
      </w:r>
    </w:p>
    <w:p>
      <w:r>
        <w:t>a) En l'espèce, le recourant soutient en premier lieu et en substance que l'octroi d'une rente d'invalidité pleine et entière s'impose dans son cas dans la mesure où ses limitations fonctionnelles et son manque de formation rendent irréalistes ses possibilités de trouver un emploi correspondant, ce dont l'OAI n'a pas tenu compte. Dans un second temps, il requiert de l'OAI qu'il prenne en charge une formation théorique et pratique afin d'obtenir un permis de conduire suisse en catégorie légère et pouvoir exercer soit l'activité de chauffeur de taxi, soit celle de chauffeur de minibus, à savoir des activités qui, à ses yeux, sont les seules qu'il soit en mesure d'accomplir. Il convient dès lors d'examiner en premier lieu si l'incapacité de travail du recourant a été correctement évaluée par l'OAI. b) Sur le plan psychiatrique, on relèvera d'emblée qu'aucune pathologie n'a été diagnostiquée chez le recourant de sorte qu'il n'est pas nécessaire de pousser l'examen plus avant sur cette question. c) Sur le plan somatique, l'appréciation de la capacité de travail du recourant faite par l'OAI repose essentiellement sur le rapport d'examen rhumatologique établi par le Dr B.________, du SMR, le 13 septembre 2010. Il résulte en particulier de ce rapport que le recourant n'est plus à même d'exercer son activité habituelle mais qu'en revanche, dans une activité répondant à ses limitations fonctionnelles, une capacité de travail de 80% est encore exigible. En soit, on relèvera que le recourant ne conteste pas le pourcentage d'incapacité de travail retenu par le SMR ni les diagnostics posés. Toutefois, même si tel devait être le cas, la Cour de céans constate après analyse que le rapport du SMR se fonde sur des examens complets, qu’il prend en considération les plaintes du recourant, qu’il a été établi en pleine connaissance du dossier de ce dernier, que la description du contexte médical et l’appréciation de la situation médicale sont claires et enfin que les conclusions de l’expert sont bien motivées. A ce titre, ce rapport emporte la conviction de la Cour de céans qui lui reconnaît une pleine valeur probante. Par surabondance, on relèvera qu'en définitive, aucun autre rapport ou avis médical ressortant du dossier ne vient remettre en cause sur le fond les diagnostics posés et les constatations médicales faites par le SMR. Il y a donc lieu de retenir que sur le plan médical, le recourant dispose d'une capacité de travail de 80% dans une activité adaptée. d) Dans sa décision du 17 janvier 2011, l'OAI a déterminé que le taux d'invalidité du recourant était de 7%. Cet office arrive à ce résultat en tenant compte notamment du fait que le recourant n'a pas repris d'activité professionnelle depuis 2008 - ce que ce dernier ne conteste pas - et qu'il y a donc lieu de se référer aux données statistiques pour estimer son revenu d'invalide, ce qui est conforme à la jurisprudence et ne porte pas flan à la critique (cf. notamment ATF 126 V 76 consid. 3b/aa et bb). Quant au calcul effectué par l'OAI, consistant à comparer les revenus du recourant sans et avec invalidité, il s'avère exact et fondé. En conséquence, la Cour de céans estime que sur ce point, la décision de l'OAI ne saurait être remise en cause. e) S'agissant de la question de savoir si l'OAI aurait dû considérer comme irréaliste pour le recourant de retrouver un emploi au regard de ses limitations fonctionnelles et de son manque de formation, on rappellera que, selon la jurisprudence, on ne peut parler d'une activité exigible,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 RCC 1991 p. 329 ; TFA I 329/88 du 25 janvier 1989, consid. 4a, in : RCC 1989 p. 328). En l'espèce, il ressort du rapport rhumatologique du SMR du 13 septembre 2010 que le recourant présente plusieurs limitations fonctionnelles, à savoir : pas de port de charges supérieures à 5 kg de façon répétitive, occasionnelle au-delà de 7,5 kg, pas de montée/descente d’escaliers, pas d’activité en hauteur, pas de position en génuflexion ou accroupie de façon formelle, pas de position statique assise prolongée au-delà de 3/4 d’heure, sans possibilité de varier les positions assise-debout au minimum 1x/heure, de préférence à la guise de l’assuré, pas de position en porte-à-faux, en antéflexion du rachis contre résistance et pas de position statique debout immobile de type piétinement, diminution du périmètre de marche à environ 1/2 heure à 3/4 d’heure. Au regard de ces limitations et de son manque de formation, le recourant soutient qu'il lui est impossible de retrouver un emploi. La Cour de céans ne saurait toutefois le suivre dans son argumentation. Il ressort en premier lieu du dossier que le recourant, né en 1963, était dans sa 48 ème année au moment de la décision litigieuse du 17 janvier 2011. Son âge n'est ainsi pas un frein à une réinsertion professionnelle. En outre, selon le conseiller en réadaptation de l'OAI (note interne du 26 novembre 2010), le recourant pourrait notamment exercer une activité professionnelle de type sédentaire ou semi-sédentaire dans le domaine de l'industrie légère. Ce conseiller estime que la variété des offres dans ce domaine est vaste. Il n'y a pas lieu pour la Cour de céans de s'écarter de cette appréciation. Il sied en outre de remarquer que, pour la plupart, ces offres ne nécessitent pas de formation complémentaire ou particulière. D'ailleurs, on remarquera que par le passé, le recourant a su en permanence s'adapter à ses différents emplois temporaires, malgré son manque de formation. Enfin, sur le plan médical, il est admis que le recourant dispose d'une capacité de travail de 80% dans une activité adaptée. Dans ces conditions, la Cour de céans est d'avis qu'il convient de suivre la position de l'OAI et de considérer qu'il n'est pas irréaliste pour le recourant de retrouver un emploi sur le marché du travail qui soit compatible avec ses limitations fonctionnelles et son niveau de formation. f) S'agissant de la requête du recourant tendant à ce que l'OAI prenne en charge ses frais de formation de chauffeur, la Cour de céans relève que cette question n'a pas été tranchée par la décision litigieuse. Toutefois, même si tel avait été le cas, force aurait été de constater que le recourant n'aurait pas eu droit à une aide au reclassement dans la mesure où son préjudice économique s'avère être de seulement 7%, soit un pourcentage très en dessous de la limite de 20% fixée par la jurisprudence en la matière. A cet égard, c'est donc à juste titre que l'OAI n'est pas entré en matière sur cette requête dans le cadre de la présente procédure.</w:t>
      </w:r>
    </w:p>
    <w:p>
      <w:r>
        <w:rPr>
          <w:b/>
        </w:rPr>
        <w:t>E. 6</w:t>
      </w:r>
    </w:p>
    <w:p>
      <w:r>
        <w:t>a) En définitive, le recours s'avère mal fondé et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(art. 69 al. 1bis LAI). Le recourant a toutefois été mise au bénéfice de l’assistance judiciaire, de sorte que les frais judiciaires sont supportés par le canton, mais provisoirement (art. 122 al. 1 let. b CPC [code de procédure civile du 19 décembre 2008 ;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En conséquence, les frais judiciaires sont arrêtés à 400 fr. et mis provisoirement à la charge du canton. c) Vu l'issue du litige, il n'y a pas lieu d'allouer de dépens au recourant qui succombe (art. 61 let. g LPGA). d) Le recourant a obtenu, au titre de l’assistance judiciaire, la commission d’office d’un avocat en la personne de Me Jean-Pierre Bloch (art. 118 al. 1 let. a et c CPC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En l'espèce, la conseil du recourant a produit la liste de ses opérations, laquelle a été contrôlée au regard de la procédure et rentre globalement dans le cadre du bon accomplissement du mandat de sorte qu’elle doit être arrêtée à</w:t>
      </w:r>
    </w:p>
    <w:p>
      <w:r>
        <w:rPr>
          <w:b/>
        </w:rPr>
        <w:t>E. 11</w:t>
      </w:r>
    </w:p>
    <w:p>
      <w:r>
        <w:t>heures de prestations d’avocat, rémunérées à un tarif horaire de 180 fr. (art. 2 al. 1 let. a RAJ [règlement du 7 décembre 2010 sur l'assistance judiciaire en matière civile ; RS 211.02.3]), ce qui correspond à un montant total d’honoraires s’élevant à 1'980 fr. Par ailleurs, l’avocat d’office a droit au remboursement de tous les débours qui s’inscrivent raisonnablement dans l’exécution de sa tâche (ATF 122 Il 1 ; TF 6B_102/2009 du 14 avril 2009 consid. 2), soit en l’espèce 100 fr. L’indemnité d’office du conseil du recourant s'élève ainsi à 2'080 fr augmentée de la TVA (8%), soit 2'246.40 en tout, que l'on arrondira à 2'246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